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5EED9A88" w:rsidP="5EED9A88" w:rsidRDefault="5EED9A88" w14:paraId="40D5545A" w14:textId="4C048336">
      <w:pPr>
        <w:spacing w:before="120" w:beforeAutospacing="off" w:after="120" w:afterAutospacing="off" w:line="276" w:lineRule="auto"/>
        <w:ind w:left="120" w:right="36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5D8E890" w:rsidP="5EED9A88" w:rsidRDefault="45D8E890" w14:paraId="42246829" w14:textId="7F822773">
      <w:pPr>
        <w:pStyle w:val="Normal"/>
        <w:widowControl w:val="0"/>
        <w:spacing w:after="0" w:line="240" w:lineRule="auto"/>
        <w:ind w:left="142" w:right="1274" w:firstLine="27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</w:pPr>
      <w:r w:rsidR="45D8E890">
        <w:drawing>
          <wp:inline wp14:editId="65A17D5C" wp14:anchorId="7C6BA752">
            <wp:extent cx="714375" cy="790575"/>
            <wp:effectExtent l="0" t="0" r="0" b="0"/>
            <wp:docPr id="202240545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9a5208993ca474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5EED9A88" w:rsidR="45D8E8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PT"/>
        </w:rPr>
        <w:t>MINISTÉRIO DA AGRICULTURA E PECUÁRIA - MAPA</w:t>
      </w:r>
    </w:p>
    <w:p w:rsidR="45D8E890" w:rsidP="5EED9A88" w:rsidRDefault="45D8E890" w14:paraId="3ADD03F6" w14:textId="09D8BACB">
      <w:pPr>
        <w:widowControl w:val="0"/>
        <w:spacing w:after="0" w:line="240" w:lineRule="auto"/>
        <w:ind w:left="142" w:right="1274" w:firstLine="27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</w:pPr>
      <w:r w:rsidRPr="5EED9A88" w:rsidR="45D8E8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PT"/>
        </w:rPr>
        <w:t xml:space="preserve"> SECRETARIA DE DEFESA AGROPECUÁRIA - SDA</w:t>
      </w:r>
    </w:p>
    <w:p w:rsidR="45D8E890" w:rsidP="5EED9A88" w:rsidRDefault="45D8E890" w14:paraId="6BD09175" w14:textId="22D69EA1">
      <w:pPr>
        <w:widowControl w:val="0"/>
        <w:spacing w:after="0" w:line="240" w:lineRule="auto"/>
        <w:ind w:left="142" w:right="1274" w:firstLine="27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</w:pPr>
      <w:r w:rsidRPr="5EED9A88" w:rsidR="45D8E8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PT"/>
        </w:rPr>
        <w:t>DEPARTAMENTO DE INSPEÇÃO DE PRODUTOS DE ORIGEM ANIMAL - DIPOA</w:t>
      </w:r>
    </w:p>
    <w:p xmlns:wp14="http://schemas.microsoft.com/office/word/2010/wordml" w:rsidP="00CB1B6F" wp14:paraId="460E0409" wp14:textId="01B711D4">
      <w:pPr>
        <w:spacing w:before="120" w:beforeAutospacing="off" w:after="120" w:afterAutospacing="off" w:line="276" w:lineRule="auto"/>
        <w:ind w:left="120" w:right="36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0CB1B6F" w:rsidR="5D4CB10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MODELO A</w:t>
      </w:r>
      <w:r w:rsidRPr="00CB1B6F" w:rsidR="00D7AD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  <w:r w:rsidRPr="00CB1B6F" w:rsidR="5D4CB10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SUÍNOS - AUTODECLARAÇÃO DA APRESENTAÇÃO DOS DOCUMENTOS PREVISTOS PELA INSTRUÇÃO NORMATIVA</w:t>
      </w:r>
      <w:r w:rsidRPr="00CB1B6F" w:rsidR="00D2505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SDA</w:t>
      </w:r>
      <w:r w:rsidRPr="00CB1B6F" w:rsidR="5D4CB10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Nº 79, DE 28 DE DEZEMBRO DE 2018</w:t>
      </w:r>
      <w:r w:rsidRPr="00CB1B6F" w:rsidR="53C1FB1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</w:t>
      </w:r>
      <w:r w:rsidRPr="00CB1B6F" w:rsidR="5D4CB10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PARA A INCLUSÃO NA INSPEÇÃO COM BASE EM RISCO</w:t>
      </w:r>
      <w:r w:rsidRPr="00CB1B6F" w:rsidR="39168C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(IBR)</w:t>
      </w:r>
    </w:p>
    <w:p xmlns:wp14="http://schemas.microsoft.com/office/word/2010/wordml" w:rsidP="25E09062" wp14:paraId="273300C5" wp14:textId="51E18F5C">
      <w:pPr>
        <w:spacing w:before="120" w:after="120" w:line="276" w:lineRule="auto"/>
        <w:ind w:left="9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E09062" w:rsidR="5D4CB1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Identificação do abatedouro-frigorífico de suínos:</w:t>
      </w:r>
    </w:p>
    <w:p xmlns:wp14="http://schemas.microsoft.com/office/word/2010/wordml" w:rsidP="25E09062" wp14:paraId="3E58FFF9" wp14:textId="2C22173F">
      <w:pPr>
        <w:spacing w:before="120" w:after="120" w:line="276" w:lineRule="auto"/>
        <w:ind w:left="9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E09062" w:rsidR="5D4CB1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SIF:</w:t>
      </w:r>
    </w:p>
    <w:p xmlns:wp14="http://schemas.microsoft.com/office/word/2010/wordml" w:rsidP="25E09062" wp14:paraId="7EE32963" wp14:textId="63AD4771">
      <w:pPr>
        <w:spacing w:before="120" w:after="120" w:line="276" w:lineRule="auto"/>
        <w:ind w:left="9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E09062" w:rsidR="5D4CB1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SIPOA:</w:t>
      </w:r>
    </w:p>
    <w:p xmlns:wp14="http://schemas.microsoft.com/office/word/2010/wordml" w:rsidP="25E09062" wp14:paraId="3E5DEE73" wp14:textId="1ADDEC53">
      <w:pPr>
        <w:spacing w:before="120" w:after="120" w:line="276" w:lineRule="auto"/>
        <w:ind w:left="9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E09062" w:rsidR="5D4CB1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Responsável legal (peticionário):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7410"/>
        <w:gridCol w:w="2155"/>
      </w:tblGrid>
      <w:tr w:rsidR="25E09062" w:rsidTr="25E09062" w14:paraId="03626F0D">
        <w:trPr>
          <w:trHeight w:val="1335"/>
        </w:trPr>
        <w:tc>
          <w:tcPr>
            <w:tcW w:w="8160" w:type="dxa"/>
            <w:gridSpan w:val="2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6AC1D7B3" w14:textId="2B541077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O responsável legal do estabelecimento declara que incluiu na presente petição TODOS os documentos abaixo listados, em comprovação de atendimento aos requisitos previstos pela Instrução Normativa 79/2018:</w:t>
            </w:r>
          </w:p>
        </w:tc>
        <w:tc>
          <w:tcPr>
            <w:tcW w:w="215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50B4C796" w14:textId="4C91635D">
            <w:pPr>
              <w:spacing w:line="276" w:lineRule="auto"/>
              <w:ind w:left="60" w:right="6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 Declaro que está incluído no presente</w:t>
            </w:r>
          </w:p>
          <w:p w:rsidR="25E09062" w:rsidP="25E09062" w:rsidRDefault="25E09062" w14:paraId="3E1ECAD5" w14:textId="3586B0B3">
            <w:pPr>
              <w:spacing w:line="276" w:lineRule="auto"/>
              <w:ind w:left="60" w:right="6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(SIM)</w:t>
            </w:r>
          </w:p>
        </w:tc>
      </w:tr>
      <w:tr w:rsidR="25E09062" w:rsidTr="25E09062" w14:paraId="23C2668B">
        <w:trPr>
          <w:trHeight w:val="660"/>
        </w:trPr>
        <w:tc>
          <w:tcPr>
            <w:tcW w:w="750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6ED0A685" w14:textId="1A973877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1</w:t>
            </w:r>
          </w:p>
        </w:tc>
        <w:tc>
          <w:tcPr>
            <w:tcW w:w="7410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2AACCED3" w14:textId="22E02AA1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Petição de inclusão ao Diretor do DIPOA, na qual se declara apto a aderir ao sistema de inspeção 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pt-BR"/>
              </w:rPr>
              <w:t>post mortem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com base em risco aplicável aos suínos (</w:t>
            </w:r>
            <w:r w:rsidRPr="25E09062" w:rsidR="4AB477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rt. 98), que inclui:</w:t>
            </w:r>
          </w:p>
        </w:tc>
        <w:tc>
          <w:tcPr>
            <w:tcW w:w="215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5E6F48AF" w14:textId="50C60A83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</w:t>
            </w:r>
          </w:p>
        </w:tc>
      </w:tr>
      <w:tr w:rsidR="25E09062" w:rsidTr="25E09062" w14:paraId="7C542DB9">
        <w:trPr>
          <w:trHeight w:val="705"/>
        </w:trPr>
        <w:tc>
          <w:tcPr>
            <w:tcW w:w="750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7AF38C2D" w14:textId="57679322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1.1.</w:t>
            </w:r>
          </w:p>
        </w:tc>
        <w:tc>
          <w:tcPr>
            <w:tcW w:w="7410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6A1C7D23" w14:textId="367D9472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Termo de reconhecimento do estabelecimento que o sistema de inspeção 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pt-BR"/>
              </w:rPr>
              <w:t>post mortem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com base em risco pode gerar impacto nas habilitações do abatedouro frigorífico, inclusive nas já obtidas (art.99)</w:t>
            </w:r>
          </w:p>
        </w:tc>
        <w:tc>
          <w:tcPr>
            <w:tcW w:w="215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68155DBB" w14:textId="2EF369C4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</w:t>
            </w:r>
          </w:p>
        </w:tc>
      </w:tr>
      <w:tr w:rsidR="25E09062" w:rsidTr="25E09062" w14:paraId="2C994CE6">
        <w:trPr>
          <w:trHeight w:val="660"/>
        </w:trPr>
        <w:tc>
          <w:tcPr>
            <w:tcW w:w="750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4315A8DF" w14:textId="400B197A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1.2.</w:t>
            </w:r>
          </w:p>
        </w:tc>
        <w:tc>
          <w:tcPr>
            <w:tcW w:w="7410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5BFC66E7" w14:textId="43D16F6B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Termo de compromisso em abater exclusivamente suínos criados em 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conﬁnamento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: </w:t>
            </w:r>
          </w:p>
          <w:p w:rsidR="25E09062" w:rsidP="25E09062" w:rsidRDefault="25E09062" w14:paraId="28EC53C7" w14:textId="508D512A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- Suínos sob integração e cooperativismo; </w:t>
            </w:r>
          </w:p>
          <w:p w:rsidR="25E09062" w:rsidP="25E09062" w:rsidRDefault="25E09062" w14:paraId="1F256362" w14:textId="5AACFE30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- Criadores independentes registrado</w:t>
            </w:r>
            <w:r w:rsidRPr="25E09062" w:rsidR="6B6204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s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. (Itens I e II do art.3º)</w:t>
            </w:r>
            <w:r w:rsidRPr="25E09062" w:rsidR="0127E2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; </w:t>
            </w:r>
            <w:r w:rsidRPr="25E09062" w:rsidR="3A3053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ou</w:t>
            </w:r>
          </w:p>
          <w:p w:rsidR="25E09062" w:rsidP="25E09062" w:rsidRDefault="25E09062" w14:paraId="458E3F42" w14:textId="78D9DE0D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- Criados </w:t>
            </w:r>
            <w:r w:rsidRPr="25E09062" w:rsidR="3EA501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sob 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controle veterinário nas granjas, que geram registros 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conﬁáveis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sobre toda a cadeia produtiva. (Parágrafo único do art.3º)</w:t>
            </w:r>
            <w:r w:rsidRPr="25E09062" w:rsidR="463E72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5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6402469E" w14:textId="2B6667C1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</w:t>
            </w:r>
          </w:p>
        </w:tc>
      </w:tr>
      <w:tr w:rsidR="25E09062" w:rsidTr="25E09062" w14:paraId="7A7FB055">
        <w:trPr>
          <w:trHeight w:val="660"/>
        </w:trPr>
        <w:tc>
          <w:tcPr>
            <w:tcW w:w="750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79B0CC77" w14:textId="34FB1122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1.3.</w:t>
            </w:r>
          </w:p>
        </w:tc>
        <w:tc>
          <w:tcPr>
            <w:tcW w:w="7410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55CEA0B" w:rsidP="25E09062" w:rsidRDefault="355CEA0B" w14:paraId="5F7D349B" w14:textId="52368A29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355CEA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T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ermo de compromisso em não abater:</w:t>
            </w:r>
          </w:p>
          <w:p w:rsidR="25E09062" w:rsidP="25E09062" w:rsidRDefault="25E09062" w14:paraId="6756F5B7" w14:textId="1E4FBBE8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- Suínos Reprodutores;  </w:t>
            </w:r>
          </w:p>
          <w:p w:rsidR="4C5351B4" w:rsidP="25E09062" w:rsidRDefault="4C5351B4" w14:paraId="36D49D6B" w14:textId="1AD0965F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4C5351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- 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Outras espécies de 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suídeos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criados sob 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conﬁnamento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; </w:t>
            </w:r>
          </w:p>
          <w:p w:rsidR="2B7E207D" w:rsidP="25E09062" w:rsidRDefault="2B7E207D" w14:paraId="2FE6B6B7" w14:textId="11D556F6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25E09062" w:rsidR="2B7E20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- 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Qualquer espécie de 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suídeos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de vida livre ou criados a campo em qualquer fase da produção. (Itens I, II e III do art. 4º)</w:t>
            </w:r>
            <w:r w:rsidRPr="25E09062" w:rsidR="796001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; e</w:t>
            </w:r>
          </w:p>
          <w:p w:rsidR="25E09062" w:rsidP="25E09062" w:rsidRDefault="25E09062" w14:paraId="77EC6F37" w14:textId="385CC53A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</w:t>
            </w:r>
            <w:r w:rsidRPr="25E09062" w:rsidR="7B90AC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- </w:t>
            </w:r>
            <w:r w:rsidRPr="25E09062" w:rsidR="7B90AC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S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uídeos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selvagens ou silvestres, ou carcaças obtidas por caça. (Item III do art. 4º)</w:t>
            </w:r>
            <w:r w:rsidRPr="25E09062" w:rsidR="0CF6EC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5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0EE6CED0" w14:textId="3109FE02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E09062" w:rsidTr="25E09062" w14:paraId="5EE8E710">
        <w:trPr>
          <w:trHeight w:val="675"/>
        </w:trPr>
        <w:tc>
          <w:tcPr>
            <w:tcW w:w="750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1AFCC2AC" w14:textId="30692A6A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2.</w:t>
            </w:r>
          </w:p>
        </w:tc>
        <w:tc>
          <w:tcPr>
            <w:tcW w:w="7410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2627E66D" w14:textId="26CFADAD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Possui quadro técnico de pessoal competente e capacitado, em quantidade suficiente, cobrindo toda a carga horária de abate (</w:t>
            </w:r>
            <w:r w:rsidRPr="25E09062" w:rsidR="288F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</w:t>
            </w:r>
            <w:r w:rsidRPr="25E09062" w:rsidR="3E6DB3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apítulo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</w:t>
            </w:r>
            <w:r w:rsidRPr="25E09062" w:rsidR="09B3C6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III,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Inciso II, </w:t>
            </w:r>
            <w:r w:rsidRPr="25E09062" w:rsidR="0496D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rt. 6°)</w:t>
            </w:r>
            <w:r w:rsidRPr="25E09062" w:rsidR="765B97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5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508046F5" w14:textId="08A1FC95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</w:t>
            </w:r>
          </w:p>
        </w:tc>
      </w:tr>
      <w:tr w:rsidR="25E09062" w:rsidTr="25E09062" w14:paraId="21C3B60B">
        <w:trPr>
          <w:trHeight w:val="900"/>
        </w:trPr>
        <w:tc>
          <w:tcPr>
            <w:tcW w:w="750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190E22FE" w14:textId="11C21286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2.1.</w:t>
            </w:r>
          </w:p>
        </w:tc>
        <w:tc>
          <w:tcPr>
            <w:tcW w:w="7410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38DB3FDA" w14:textId="6A73EF68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De quadro formado por Médico(s) Veterinário(s) Responsável(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is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), comprovadamente certificados (conforme o art</w:t>
            </w:r>
            <w:r w:rsidRPr="25E09062" w:rsidR="5E254E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.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7º), em quantidade suficiente para cobrir todos dos horários de abate autorizados, inclusive considerando substituições, férias e horários de abate extra. </w:t>
            </w:r>
          </w:p>
        </w:tc>
        <w:tc>
          <w:tcPr>
            <w:tcW w:w="215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74CD41A8" w14:textId="6BC903B0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E09062" w:rsidTr="25E09062" w14:paraId="5CD05A48">
        <w:trPr>
          <w:trHeight w:val="450"/>
        </w:trPr>
        <w:tc>
          <w:tcPr>
            <w:tcW w:w="750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528CD232" w14:textId="40C01053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2.2. </w:t>
            </w:r>
          </w:p>
        </w:tc>
        <w:tc>
          <w:tcPr>
            <w:tcW w:w="7410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6B0D0113" w14:textId="28F9AE80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Quadro nominal dos avaliadores e classificadores treinados e aptos a exercer as atividades relativas às atividades do PACV. </w:t>
            </w:r>
          </w:p>
        </w:tc>
        <w:tc>
          <w:tcPr>
            <w:tcW w:w="215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4ECAED28" w14:textId="1593AC8D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E09062" w:rsidTr="25E09062" w14:paraId="29558AA9">
        <w:trPr>
          <w:trHeight w:val="900"/>
        </w:trPr>
        <w:tc>
          <w:tcPr>
            <w:tcW w:w="750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61FAAC9E" w14:textId="745F4911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2.3.</w:t>
            </w:r>
          </w:p>
        </w:tc>
        <w:tc>
          <w:tcPr>
            <w:tcW w:w="7410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6B004689" w14:textId="097192E8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Programa de treinamento, sob orientação técnica do MVR, oferecido para todas as pessoas envolvidas com os procedimentos de avaliação e classificação, desde a chegada dos suínos até a expedição de produtos,</w:t>
            </w:r>
          </w:p>
        </w:tc>
        <w:tc>
          <w:tcPr>
            <w:tcW w:w="215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263D2CC5" w14:textId="560AA0AE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E09062" w:rsidTr="25E09062" w14:paraId="6A707E40">
        <w:trPr>
          <w:trHeight w:val="630"/>
        </w:trPr>
        <w:tc>
          <w:tcPr>
            <w:tcW w:w="750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02E2AFB0" w14:textId="5CF06021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3.</w:t>
            </w:r>
          </w:p>
        </w:tc>
        <w:tc>
          <w:tcPr>
            <w:tcW w:w="7410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3BAC462D" w14:textId="0E4023D4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Versão preliminar do programa de avaliação e classificação de suínos, carcaças, partes de carcaça e vísceras - PACV (Inciso III do art</w:t>
            </w:r>
            <w:r w:rsidRPr="25E09062" w:rsidR="6E183A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.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6</w:t>
            </w:r>
            <w:r w:rsidRPr="25E09062" w:rsidR="69EAD8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º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e </w:t>
            </w:r>
            <w:r w:rsidRPr="25E09062" w:rsidR="34997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rt. 8º), considerando atendida a legislação vigente</w:t>
            </w:r>
            <w:r w:rsidRPr="25E09062" w:rsidR="232A5A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5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2542A9FD" w14:textId="50FE5ED6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</w:t>
            </w:r>
          </w:p>
        </w:tc>
      </w:tr>
      <w:tr w:rsidR="25E09062" w:rsidTr="25E09062" w14:paraId="7CED117F">
        <w:trPr>
          <w:trHeight w:val="810"/>
        </w:trPr>
        <w:tc>
          <w:tcPr>
            <w:tcW w:w="750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49B417BB" w14:textId="04C55B2C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4</w:t>
            </w:r>
          </w:p>
        </w:tc>
        <w:tc>
          <w:tcPr>
            <w:tcW w:w="7410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63C333B4" w14:textId="2F932742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Registro de revisão do programa de Análise de Perigos e Pontos Críticos de Controle, que passou a contemplar todos os perigos biológicos identificados pela avaliação de risco, conforme </w:t>
            </w:r>
            <w:r w:rsidRPr="25E09062" w:rsidR="7155D5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o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pinião </w:t>
            </w:r>
            <w:r w:rsidRPr="25E09062" w:rsidR="59FE24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ientífica (Inciso III, art.8</w:t>
            </w:r>
            <w:r w:rsidRPr="25E09062" w:rsidR="26895A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º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)</w:t>
            </w:r>
            <w:r w:rsidRPr="25E09062" w:rsidR="689D73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5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36C8EC57" w14:textId="5DF1B06E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</w:t>
            </w:r>
          </w:p>
        </w:tc>
      </w:tr>
      <w:tr w:rsidR="25E09062" w:rsidTr="25E09062" w14:paraId="0BB8923B">
        <w:trPr>
          <w:trHeight w:val="405"/>
        </w:trPr>
        <w:tc>
          <w:tcPr>
            <w:tcW w:w="750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02F3F764" w14:textId="528CD584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5</w:t>
            </w:r>
          </w:p>
        </w:tc>
        <w:tc>
          <w:tcPr>
            <w:tcW w:w="7410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1400FB2F" w14:textId="5128E5CE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Histórico favorável de controle higiênico-sanitário do processo de abate (I</w:t>
            </w:r>
            <w:r w:rsidRPr="25E09062" w:rsidR="45D5D7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nstrução 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N</w:t>
            </w:r>
            <w:r w:rsidRPr="25E09062" w:rsidR="38E0F0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ormativa MAPA nº 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60/2018)</w:t>
            </w:r>
            <w:r w:rsidRPr="25E09062" w:rsidR="65CD71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.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155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59BB33D6" w14:textId="7BA2F067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</w:t>
            </w:r>
          </w:p>
        </w:tc>
      </w:tr>
      <w:tr w:rsidR="25E09062" w:rsidTr="25E09062" w14:paraId="3A9F839C">
        <w:trPr>
          <w:trHeight w:val="855"/>
        </w:trPr>
        <w:tc>
          <w:tcPr>
            <w:tcW w:w="750" w:type="dxa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10A2D09E" w14:textId="776FBC52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6</w:t>
            </w:r>
          </w:p>
        </w:tc>
        <w:tc>
          <w:tcPr>
            <w:tcW w:w="9565" w:type="dxa"/>
            <w:gridSpan w:val="2"/>
            <w:tcBorders>
              <w:top w:val="single" w:color="808080" w:themeColor="background1" w:themeShade="80" w:sz="6"/>
              <w:left w:val="single" w:color="808080" w:themeColor="background1" w:themeShade="80" w:sz="6"/>
              <w:bottom w:val="single" w:color="808080" w:themeColor="background1" w:themeShade="80" w:sz="6"/>
              <w:right w:val="single" w:color="808080" w:themeColor="background1" w:themeShade="80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5E09062" w:rsidP="25E09062" w:rsidRDefault="25E09062" w14:paraId="267896C4" w14:textId="2A870535">
            <w:pPr>
              <w:spacing w:line="276" w:lineRule="auto"/>
              <w:ind w:left="60"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Laudo de Inspeção da conclusão do projeto de reforma e ampliação aprovado pela Divisão de Registro de Estabelecimentos, da Coordenação Geral de </w:t>
            </w:r>
            <w:r w:rsidRPr="25E09062" w:rsidR="43D7E8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I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nspeção do DIPOA</w:t>
            </w:r>
            <w:r w:rsidRPr="25E09062" w:rsidR="177B43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– DREC/CGI/DIPOA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(capítulo </w:t>
            </w:r>
            <w:r w:rsidRPr="25E09062" w:rsidR="0CCF78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III,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Inciso I, Art. 6</w:t>
            </w:r>
            <w:r w:rsidRPr="25E09062" w:rsidR="0ED904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º</w:t>
            </w: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) *</w:t>
            </w:r>
          </w:p>
          <w:p w:rsidR="25E09062" w:rsidP="25E09062" w:rsidRDefault="25E09062" w14:paraId="622C5146" w14:textId="710F4DCC">
            <w:pPr>
              <w:spacing w:line="276" w:lineRule="auto"/>
              <w:ind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Incluído no processo SEI de registro do Estabelecimento:</w:t>
            </w:r>
          </w:p>
          <w:p w:rsidR="25E09062" w:rsidP="25E09062" w:rsidRDefault="25E09062" w14:paraId="79ACDB2B" w14:textId="444C574C">
            <w:pPr>
              <w:spacing w:line="276" w:lineRule="auto"/>
              <w:ind w:right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E09062" w:rsidR="25E09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SEI nº___________</w:t>
            </w:r>
          </w:p>
        </w:tc>
      </w:tr>
    </w:tbl>
    <w:p xmlns:wp14="http://schemas.microsoft.com/office/word/2010/wordml" w:rsidP="25E09062" wp14:paraId="03954A01" wp14:textId="7CDE5DFD">
      <w:pPr>
        <w:spacing w:line="276" w:lineRule="auto"/>
        <w:ind w:left="0" w:right="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</w:pPr>
      <w:r w:rsidRPr="25E09062" w:rsidR="5D4CB1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* O laudo de inspeção deverá ser gerado no processo de registro de estabelecimento nacional e seu número SEI inserido no processo de peticionamento.</w:t>
      </w:r>
    </w:p>
    <w:p xmlns:wp14="http://schemas.microsoft.com/office/word/2010/wordml" w:rsidP="25E09062" wp14:paraId="15B72B8D" wp14:textId="222CD61E">
      <w:pPr>
        <w:spacing w:before="120" w:after="120" w:line="276" w:lineRule="auto"/>
        <w:ind w:left="120" w:right="120" w:firstLine="5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25E09062" wp14:paraId="79549C83" wp14:textId="39EF3989">
      <w:pPr>
        <w:spacing w:before="120" w:after="120" w:line="276" w:lineRule="auto"/>
        <w:ind w:left="120" w:right="120" w:firstLine="5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E09062" w:rsidR="5D4CB1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Nesses termos, solicitamos autorização para a realização de testes de aplicação do sistema de inspeção com base em risco, no período inicial de até </w:t>
      </w:r>
      <w:r w:rsidRPr="25E09062" w:rsidR="583C7A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 (</w:t>
      </w:r>
      <w:r w:rsidRPr="25E09062" w:rsidR="5D4CB1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três</w:t>
      </w:r>
      <w:r w:rsidRPr="25E09062" w:rsidR="7F62C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)</w:t>
      </w:r>
      <w:r w:rsidRPr="25E09062" w:rsidR="5D4CB1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meses, a partir de____/___/___ ou em nova data posterior, a ser acordada com o SIF/SIPOA.</w:t>
      </w:r>
    </w:p>
    <w:p xmlns:wp14="http://schemas.microsoft.com/office/word/2010/wordml" w:rsidP="25E09062" wp14:paraId="237620E2" wp14:textId="2ADF500C">
      <w:pPr>
        <w:spacing w:before="120" w:after="120" w:line="276" w:lineRule="auto"/>
        <w:ind w:left="120" w:right="120" w:firstLine="5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E09062" w:rsidR="5D4CB1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Declaro que todos os documentos incluídos na presente petição estão em acordo com a legislação nacional, e que estou ciente que os conteúdos dos mesmos, no que for aplicável, estarão sujeitos à validação ou autocorreções necessárias, durante o período de testes para a implementação concedido pelo DIPOA, estando também sujeitos a verificação oficial, em todas as etapas de implementação e aplicação do sistema, na forma definida na regulamentação. </w:t>
      </w:r>
    </w:p>
    <w:p xmlns:wp14="http://schemas.microsoft.com/office/word/2010/wordml" w:rsidP="25E09062" wp14:paraId="3CD59015" wp14:textId="787B505D">
      <w:pPr>
        <w:spacing w:before="120" w:after="120" w:line="276" w:lineRule="auto"/>
        <w:ind w:left="120" w:right="120" w:firstLine="5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E09062" w:rsidR="5D4CB1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</w:p>
    <w:p xmlns:wp14="http://schemas.microsoft.com/office/word/2010/wordml" w:rsidP="25E09062" wp14:paraId="4C3D97FC" wp14:textId="183F81A1">
      <w:pPr>
        <w:spacing w:before="120" w:after="120" w:line="276" w:lineRule="auto"/>
        <w:ind w:left="120" w:right="12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E09062" w:rsidR="5D4CB1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Assinatura do responsável legal do abatedouro-frigorífico:</w:t>
      </w:r>
    </w:p>
    <w:p xmlns:wp14="http://schemas.microsoft.com/office/word/2010/wordml" w:rsidP="25E09062" wp14:paraId="1E207724" wp14:textId="4484F572">
      <w:pPr>
        <w:pStyle w:val="Normal"/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JCohv6WPsW5v1S" int2:id="4Tf1whZ5">
      <int2:state int2:type="AugLoop_Text_Critique" int2:value="Rejected"/>
    </int2:textHash>
    <int2:textHash int2:hashCode="yLhrxYEQ/EELb5" int2:id="QrbZopXW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5009E0"/>
    <w:rsid w:val="00CB1B6F"/>
    <w:rsid w:val="00D2505E"/>
    <w:rsid w:val="00D7AD33"/>
    <w:rsid w:val="0127E2B8"/>
    <w:rsid w:val="017FBAA1"/>
    <w:rsid w:val="017FBAA1"/>
    <w:rsid w:val="0496D837"/>
    <w:rsid w:val="05AB1E56"/>
    <w:rsid w:val="0746EEB7"/>
    <w:rsid w:val="09B3C610"/>
    <w:rsid w:val="0CCF78F1"/>
    <w:rsid w:val="0CF6ECA5"/>
    <w:rsid w:val="0ED904A8"/>
    <w:rsid w:val="165009E0"/>
    <w:rsid w:val="177B4345"/>
    <w:rsid w:val="203F288F"/>
    <w:rsid w:val="232A5AC5"/>
    <w:rsid w:val="237A5FBE"/>
    <w:rsid w:val="25E09062"/>
    <w:rsid w:val="26895A7D"/>
    <w:rsid w:val="288FBD43"/>
    <w:rsid w:val="29E9A142"/>
    <w:rsid w:val="2B7E207D"/>
    <w:rsid w:val="2B8571A3"/>
    <w:rsid w:val="31ED7E38"/>
    <w:rsid w:val="34997DE2"/>
    <w:rsid w:val="355CEA0B"/>
    <w:rsid w:val="38E0F0C2"/>
    <w:rsid w:val="39168C41"/>
    <w:rsid w:val="3A305312"/>
    <w:rsid w:val="3AC8A46F"/>
    <w:rsid w:val="3B8A5A96"/>
    <w:rsid w:val="3B8A5A96"/>
    <w:rsid w:val="3BA382F3"/>
    <w:rsid w:val="3E6DB358"/>
    <w:rsid w:val="3EA501C0"/>
    <w:rsid w:val="3EBE64EB"/>
    <w:rsid w:val="43D7E82C"/>
    <w:rsid w:val="45D5D7F3"/>
    <w:rsid w:val="45D8E890"/>
    <w:rsid w:val="463E728E"/>
    <w:rsid w:val="4AB47798"/>
    <w:rsid w:val="4C5351B4"/>
    <w:rsid w:val="53C1FB12"/>
    <w:rsid w:val="5480CE06"/>
    <w:rsid w:val="5480CE06"/>
    <w:rsid w:val="56EB1E8D"/>
    <w:rsid w:val="56EB1E8D"/>
    <w:rsid w:val="583C7AED"/>
    <w:rsid w:val="59FE243C"/>
    <w:rsid w:val="5A22BF4F"/>
    <w:rsid w:val="5D4CB10F"/>
    <w:rsid w:val="5E254EB0"/>
    <w:rsid w:val="5EED9A88"/>
    <w:rsid w:val="64F3005B"/>
    <w:rsid w:val="65CD7136"/>
    <w:rsid w:val="689D730A"/>
    <w:rsid w:val="69EAD811"/>
    <w:rsid w:val="6B137DAF"/>
    <w:rsid w:val="6B6204FF"/>
    <w:rsid w:val="6E183A9C"/>
    <w:rsid w:val="7155D5C6"/>
    <w:rsid w:val="765B97B5"/>
    <w:rsid w:val="7960015C"/>
    <w:rsid w:val="7B90AC15"/>
    <w:rsid w:val="7F62C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009E0"/>
  <w15:chartTrackingRefBased/>
  <w15:docId w15:val="{F2566261-45B7-4B17-8830-D8234D6120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4badf11e604b4ce1" /><Relationship Type="http://schemas.openxmlformats.org/officeDocument/2006/relationships/image" Target="/media/image.png" Id="Re9a5208993ca474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2024-01-16T19:34:51.7656006Z</dcterms:created>
  <dcterms:modified xsi:type="dcterms:W3CDTF">2024-01-17T18:24:38.5003956Z</dcterms:modified>
  <dc:creator>Caroline Del Negri Sartoretto de Oliveira</dc:creator>
  <lastModifiedBy>Caroline Del Negri Sartoretto de Oliveira</lastModifiedBy>
</coreProperties>
</file>