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6797A7B" w:rsidP="770B641E" w:rsidRDefault="06797A7B" w14:paraId="72DD4BAE" w14:textId="13F2B9B4">
      <w:pPr>
        <w:pStyle w:val="Normal"/>
        <w:spacing w:before="0" w:beforeAutospacing="off" w:after="0" w:afterAutospacing="off" w:line="240" w:lineRule="auto"/>
        <w:ind w:left="0" w:right="18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="06797A7B">
        <w:drawing>
          <wp:inline wp14:editId="3BCAB464" wp14:anchorId="185615B8">
            <wp:extent cx="714375" cy="790575"/>
            <wp:effectExtent l="0" t="0" r="0" b="0"/>
            <wp:docPr id="20857894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176963abdd40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70B641E" w:rsidR="06797A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MINISTÉRIO DA AGRICULTURA E PECUÁRIA - MAPA</w:t>
      </w:r>
    </w:p>
    <w:p w:rsidR="06797A7B" w:rsidP="770B641E" w:rsidRDefault="06797A7B" w14:paraId="5CBD42B8" w14:textId="0BB06C5B">
      <w:pPr>
        <w:pStyle w:val="Normal"/>
        <w:spacing w:before="0" w:beforeAutospacing="off" w:after="0" w:afterAutospacing="off" w:line="240" w:lineRule="auto"/>
        <w:ind w:left="0" w:right="18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70B641E" w:rsidR="06797A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SECRETARIA DE DEFESA AGROPECUÁRIA - SDA</w:t>
      </w:r>
    </w:p>
    <w:p w:rsidR="06797A7B" w:rsidP="770B641E" w:rsidRDefault="06797A7B" w14:paraId="0701AC76" w14:textId="7A57FE9B">
      <w:pPr>
        <w:pStyle w:val="Normal"/>
        <w:spacing w:before="0" w:beforeAutospacing="off" w:after="0" w:afterAutospacing="off" w:line="240" w:lineRule="auto"/>
        <w:ind w:left="0" w:right="18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70B641E" w:rsidR="06797A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DEPARTAMENTO DE INSPEÇÃO DE PRODUTOS DE ORIGEM ANIMAL - DIPOA</w:t>
      </w:r>
    </w:p>
    <w:p w:rsidR="770B641E" w:rsidP="770B641E" w:rsidRDefault="770B641E" w14:paraId="5C0EA36F" w14:textId="66F2319B">
      <w:pPr>
        <w:pStyle w:val="Normal"/>
        <w:spacing w:before="0" w:beforeAutospacing="off" w:after="0" w:afterAutospacing="off" w:line="240" w:lineRule="auto"/>
        <w:ind w:left="0" w:right="18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3E776D9" wp14:paraId="4E7F6FB9" wp14:textId="1BFAD01B">
      <w:pPr>
        <w:pStyle w:val="Normal"/>
        <w:spacing w:before="0" w:beforeAutospacing="off" w:after="0" w:afterAutospacing="off" w:line="240" w:lineRule="auto"/>
        <w:ind w:left="0" w:right="180"/>
        <w:jc w:val="both"/>
        <w:rPr>
          <w:rFonts w:ascii="Calibri" w:hAnsi="Calibri" w:eastAsia="Calibri" w:cs="Calibri"/>
          <w:noProof w:val="0"/>
          <w:sz w:val="19"/>
          <w:szCs w:val="19"/>
          <w:lang w:val="pt-BR"/>
        </w:rPr>
      </w:pPr>
      <w:r w:rsidRPr="53E776D9" w:rsidR="0D427D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MODELO B. SUÍNOS - FORMULÁRIO DE AVALIAÇÃO DOCUMENTAL E LOCAL QUANTO AO ATENDIMENTO AOS REQUISITOS PREVISTOS PELA INSTRUÇÃO NORMATIVA SDA Nº 79, DE 28 DE DEZEMBRO DE 2018</w:t>
      </w:r>
    </w:p>
    <w:p xmlns:wp14="http://schemas.microsoft.com/office/word/2010/wordml" w:rsidP="0BB09D6F" wp14:paraId="7D85DC74" wp14:textId="4AC5F65D">
      <w:pPr>
        <w:pStyle w:val="Normal"/>
        <w:spacing w:line="276" w:lineRule="auto"/>
        <w:ind w:left="60" w:right="6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</w:p>
    <w:p xmlns:wp14="http://schemas.microsoft.com/office/word/2010/wordml" w:rsidP="0BB09D6F" wp14:paraId="0C4B1FBF" wp14:textId="4411F9BC">
      <w:pPr>
        <w:spacing w:line="276" w:lineRule="auto"/>
        <w:ind w:left="60" w:right="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BB09D6F" w:rsidR="07BF11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 o abatedouro frigorífico de suínos o SIF deve aplicar o seguinte formulário:</w:t>
      </w:r>
    </w:p>
    <w:p xmlns:wp14="http://schemas.microsoft.com/office/word/2010/wordml" w:rsidP="0BB09D6F" wp14:paraId="4236F3B5" wp14:textId="3A1BAF2F">
      <w:pPr>
        <w:pStyle w:val="Normal"/>
        <w:spacing w:line="276" w:lineRule="auto"/>
        <w:ind w:left="60" w:right="6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</w:pPr>
      <w:r w:rsidRPr="0BB09D6F" w:rsidR="07BF11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AVALIAÇÃO DE ATENDIMENTO AOS REQUISITOS PREVISTOS PELA </w:t>
      </w:r>
      <w:r w:rsidRPr="0BB09D6F" w:rsidR="4F6976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INSTRUÇÃO NORMATIVA SDA Nº 79, DE 28 DE DEZEMBRO DE 2018</w:t>
      </w:r>
    </w:p>
    <w:tbl>
      <w:tblPr>
        <w:tblStyle w:val="TableNormal"/>
        <w:tblW w:w="100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1605"/>
        <w:gridCol w:w="1335"/>
        <w:gridCol w:w="1620"/>
        <w:gridCol w:w="2790"/>
      </w:tblGrid>
      <w:tr w:rsidR="0BB09D6F" w:rsidTr="770B641E" w14:paraId="31935349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33156D1" w14:textId="7F099BE6">
            <w:pPr>
              <w:spacing w:line="276" w:lineRule="auto"/>
              <w:ind w:left="60" w:right="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REQUISITO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280C111" w14:textId="6B7957E9">
            <w:pPr>
              <w:spacing w:line="276" w:lineRule="auto"/>
              <w:ind w:left="60" w:right="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NÃO APRESENTADO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F87618E" w14:textId="0898F807">
            <w:pPr>
              <w:spacing w:line="276" w:lineRule="auto"/>
              <w:ind w:left="60" w:right="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FAVORÁVEL (ATENDE AO PREVISTO)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F0C4B89" w14:textId="20406F3B">
            <w:pPr>
              <w:spacing w:line="276" w:lineRule="auto"/>
              <w:ind w:left="60" w:right="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DESFAVORÁVEL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2C49CF7" w14:textId="0243F402">
            <w:pPr>
              <w:spacing w:line="276" w:lineRule="auto"/>
              <w:ind w:left="60" w:right="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ESPECIFICAÇÕES DO PARECER DO AFFA (DESCRITIVO)</w:t>
            </w:r>
          </w:p>
        </w:tc>
      </w:tr>
      <w:tr w:rsidR="0BB09D6F" w:rsidTr="770B641E" w14:paraId="271A1797">
        <w:trPr>
          <w:trHeight w:val="58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02539BA" w14:textId="5F81C18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A - Petição ao Diretor do DIPOA emitida por estabelecimento de abate de suínos devidamente registrado.</w:t>
            </w:r>
          </w:p>
        </w:tc>
      </w:tr>
      <w:tr w:rsidR="0BB09D6F" w:rsidTr="770B641E" w14:paraId="2D0CFC77">
        <w:trPr>
          <w:trHeight w:val="241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FD3EA05" w14:textId="0FC3AD4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Consta o termo de reconhecimento de que o sistema de inspeção com base em risco, pode gerar impacto nas habilitações do abatedouro frigorífico, inclusive nas já obtidas. (I</w:t>
            </w:r>
            <w:r w:rsidRPr="0BB09D6F" w:rsidR="014F68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V do art</w:t>
            </w:r>
            <w:r w:rsidRPr="0BB09D6F" w:rsidR="4F20E2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.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20)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84B0AE5" w14:textId="2629CF1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83AE55A" w14:textId="7ADCB20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B4B1284" w14:textId="7FE6C70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CBF582A" w14:textId="2D54475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2F21624B">
        <w:trPr>
          <w:trHeight w:val="52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F7BB0A1" w14:textId="79D9734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B - Adequação das informações da Cadeia produtiva quanto à(s) (os):</w:t>
            </w:r>
          </w:p>
        </w:tc>
      </w:tr>
      <w:tr w:rsidR="0BB09D6F" w:rsidTr="770B641E" w14:paraId="1D12243F">
        <w:trPr>
          <w:trHeight w:val="322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31B11AB" w14:textId="0C2176D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Se o estabelecimento declara e o SIF é capaz de evidenciar que são aba</w:t>
            </w:r>
            <w:r w:rsidRPr="0BB09D6F" w:rsidR="491119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ti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dos no estabelecimento somente suínos criados em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conﬁnamento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:</w:t>
            </w:r>
          </w:p>
          <w:p w:rsidR="0BB09D6F" w:rsidP="0BB09D6F" w:rsidRDefault="0BB09D6F" w14:paraId="0011B4F1" w14:textId="61B7B78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- Suínos sob integração e cooperativismo;</w:t>
            </w:r>
            <w:r w:rsidRPr="0BB09D6F" w:rsidR="7516FD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  <w:p w:rsidR="0BB09D6F" w:rsidP="0BB09D6F" w:rsidRDefault="0BB09D6F" w14:paraId="05D17B49" w14:textId="5FAB335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- Criadores independentes registrado. (I</w:t>
            </w:r>
            <w:r w:rsidRPr="0BB09D6F" w:rsidR="3E1DD0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ncisos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 e II do art.</w:t>
            </w:r>
            <w:r w:rsidRPr="0BB09D6F" w:rsidR="438BDD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3º)</w:t>
            </w:r>
            <w:r w:rsidRPr="0BB09D6F" w:rsidR="7BDA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.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0E377B1" w14:textId="79C87B2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46F8D95" w14:textId="5FB87D1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03BB254" w14:textId="26A486E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743B4D1" w14:textId="2328A38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4149F6E7">
        <w:trPr>
          <w:trHeight w:val="187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A01D49D" w14:textId="5168271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Existem evidências de controle veterinário nas granjas, que geram registros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conﬁáveis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sobre toda a cadeia produtiva. (Parágrafo único do art.</w:t>
            </w:r>
            <w:r w:rsidRPr="0BB09D6F" w:rsidR="4EF37D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3º)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10F8764" w14:textId="1F8B3B1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86F4E87" w14:textId="67CBB23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69B15F7" w14:textId="0735410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8B41502" w14:textId="1218FAB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2D6B89E3">
        <w:trPr>
          <w:trHeight w:val="349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4DD0FFE" w14:textId="168DAB5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O estabelecimento declara e o SIF é capaz de evidenciar que não são aba</w:t>
            </w:r>
            <w:r w:rsidRPr="0BB09D6F" w:rsidR="1FB0B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ti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dos no estabelecimento:</w:t>
            </w:r>
          </w:p>
          <w:p w:rsidR="0BB09D6F" w:rsidP="0BB09D6F" w:rsidRDefault="0BB09D6F" w14:paraId="1C011464" w14:textId="67EBD19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- Suínos Reprodutores;</w:t>
            </w:r>
          </w:p>
          <w:p w:rsidR="0BB09D6F" w:rsidP="0BB09D6F" w:rsidRDefault="0BB09D6F" w14:paraId="2AF3D871" w14:textId="31B625D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- Outras espécies de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suídeos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criados sob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conﬁnamento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;  </w:t>
            </w:r>
          </w:p>
          <w:p w:rsidR="22FE297C" w:rsidP="0BB09D6F" w:rsidRDefault="22FE297C" w14:paraId="7315B634" w14:textId="3370E8A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</w:pPr>
            <w:r w:rsidRPr="0BB09D6F" w:rsidR="22FE29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-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Qualquer espécie de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suídeos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de vida livre ou criados a campo em qualquer fase da produção. (I</w:t>
            </w:r>
            <w:r w:rsidRPr="0BB09D6F" w:rsidR="1B3C6A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ncisos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I, II e III do art. 4º)</w:t>
            </w:r>
            <w:r w:rsidRPr="0BB09D6F" w:rsidR="2463EF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.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C06F86C" w14:textId="23BDF1A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CB5C8DA" w14:textId="09B724E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63D2CA8" w14:textId="2C28345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E38C71A" w14:textId="64FDF52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65AF4313">
        <w:trPr>
          <w:trHeight w:val="214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13FD365" w14:textId="6627893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O estabelecimento declara e o SIF é capaz de evidenciar que não são recebid</w:t>
            </w:r>
            <w:r w:rsidRPr="0BB09D6F" w:rsidR="548FDE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s para processamento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suídeos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selvagens ou silvestres, ou carcaças obtidas por caça. (I</w:t>
            </w:r>
            <w:r w:rsidRPr="0BB09D6F" w:rsidR="29907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III do art. 4º)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3500AAA" w14:textId="2DB0B16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25F8F0E" w14:textId="205E3B7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9E9E853" w14:textId="530A62E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1465E76" w14:textId="294490A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5509B7B">
        <w:trPr>
          <w:trHeight w:val="187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3145BE9" w14:textId="3D0D812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Há um programa de identiﬁcação e rastreabilidade dos suínos, que os correlaciona até o final do abate, com a propriedade de origem. 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1E391FA" w14:textId="433AE4C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0772E75" w14:textId="0C03D6C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C239032" w14:textId="37CE5F5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54D4597" w14:textId="3521CE4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0D8E1E3B">
        <w:trPr>
          <w:trHeight w:val="79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3B4DE79" w14:textId="7DCF61FA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C - Adequação de instalações, equipamentos e 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ﬂuxos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 adequados e aprovados quanto à</w:t>
            </w:r>
            <w:r w:rsidRPr="0BB09D6F" w:rsidR="2B19C1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(s) (os): (</w:t>
            </w:r>
            <w:r w:rsidRPr="0BB09D6F" w:rsidR="2D8E5A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I</w:t>
            </w:r>
            <w:r w:rsidRPr="0BB09D6F" w:rsidR="2AB3E2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,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 art. 6°)</w:t>
            </w:r>
          </w:p>
        </w:tc>
      </w:tr>
      <w:tr w:rsidR="0BB09D6F" w:rsidTr="770B641E" w14:paraId="53978A56">
        <w:trPr>
          <w:trHeight w:val="160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FA398C3" w14:textId="3F40813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Procedimentos de recepção, identiﬁcação, avaliação, classiﬁcação e alojamento dos animais nas pocilgas. (Arts. 13, 14 e 15)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17378D2" w14:textId="022B27C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5149C17" w14:textId="1511CC8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DA9CE61" w14:textId="30390E1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FD71309" w14:textId="66840F6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6DE5AA68">
        <w:trPr>
          <w:trHeight w:val="160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577B2FD" w14:textId="7592EF9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Acesso e trânsito para a execução adequada da avaliação e classiﬁcação dos animais vivos. (Arts. 23, 24, 25, 26 e 29)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2967C14" w14:textId="7635B8C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73F5C14" w14:textId="096E305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BAEA0DB" w14:textId="7687114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C34E84C" w14:textId="6B8124A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4474CCF4">
        <w:trPr>
          <w:trHeight w:val="160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F6E686B" w14:textId="2E94906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Garantir a avaliação dos animais na pocilga em um raio de distância não superior a 10 metros a partir do avaliador. (Art. 12)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2791B64" w14:textId="4F81CAD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DEA0FF3" w14:textId="1C521D7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CB84F23" w14:textId="0027776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E0D2D13" w14:textId="034D1BD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39B5BB4">
        <w:trPr>
          <w:trHeight w:val="187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AD2EF93" w14:textId="4F92905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Avaliação em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ﬂuxo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unidirecional e contínuo dos animais vivos pelo AFFA. (§ 1º do art.12) [mensurar tempo de avaliação pelo AFFA]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2B9477D" w14:textId="374817C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8C35206" w14:textId="6D9B721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6BF23FE" w14:textId="29F2A9B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B21A1CD" w14:textId="2945295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32B6D70B">
        <w:trPr>
          <w:trHeight w:val="268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3547B3B" w14:textId="11118D3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Garantir o recebimento,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iden</w:t>
            </w:r>
            <w:r w:rsidRPr="0BB09D6F" w:rsidR="25B45F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ti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e segregação de forma a otimizar o tempo de avaliação e de inspeção. (§ 1º do art. 12) [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identiﬁcar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quantas vezes o AFFA precisa estar presente na pocilga ao turno de 8 horas trabalhadas]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C227DDF" w14:textId="6721460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75B13A9" w14:textId="19D96AC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96FEC1A" w14:textId="463AEDF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7579587" w14:textId="4A6471E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17A74DAD">
        <w:trPr>
          <w:trHeight w:val="322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C9E7648" w14:textId="3F32B6D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Execução no abate da avaliação 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classiﬁcação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na forma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deﬁnida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pelo Capítulo V e Capítulo VI da IN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79/2018</w:t>
            </w:r>
            <w:r w:rsidRPr="0BB09D6F" w:rsidR="7839A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,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em especial considerando, a seção I (art. 39, 41, 42, 43) e as alterações previstas na Secção II - Da avaliação 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lassiﬁcação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do conjunto cabeça, papada e língua.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3DF7445" w14:textId="542C602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BCC7496" w14:textId="7957931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332FAF6" w14:textId="72ADD3B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E61CDD7" w14:textId="39EFE3E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2FF25116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D0778F5" w14:textId="63E9BCA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Garantir Identiﬁcação das carcaças e correlação com vísceras e partes. (Art. 40 e 41)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4E79755" w14:textId="181D3EE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D113A10" w14:textId="255A1EC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4C6844A" w14:textId="1149C19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9B1C997" w14:textId="41D002A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0B49D467">
        <w:trPr>
          <w:trHeight w:val="214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3DF5B27" w14:textId="388E6B1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Fluxos e dimensões das salas anexas para o processamento de miúdos e partes de carcaça, em especial o conjunto cabeça, papada e língua. (Seção II</w:t>
            </w:r>
            <w:r w:rsidRPr="0BB09D6F" w:rsidR="670F79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,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Capítulo VI)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FD7BA62" w14:textId="3640360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2E9845E" w14:textId="2418810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FB461E1" w14:textId="1021AFD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338A914" w14:textId="6C97BB9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0839EB59">
        <w:trPr>
          <w:trHeight w:val="106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4AD1B2D" w14:textId="52F88DB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Fluxo e dimensionamento do Departamento de Exame Complementar</w:t>
            </w:r>
            <w:r w:rsidRPr="0BB09D6F" w:rsidR="0C2B25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-DEC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(Art. 48)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52E5069" w14:textId="28A90E9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5376555" w14:textId="132B21B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950E4A5" w14:textId="06F36E0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83EA12B" w14:textId="7239E1B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14C16A30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75375DC" w14:textId="40FF7EB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Fluxo e dimensionamento do Departamento de Inspeção Final</w:t>
            </w:r>
            <w:r w:rsidRPr="0BB09D6F" w:rsidR="7D9012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-DIF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(Portaria 711/95 e art. 48</w:t>
            </w:r>
            <w:r w:rsidRPr="0BB09D6F" w:rsidR="0AA2EA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40D9272" w14:textId="54593B0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647477E" w14:textId="21A0C52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228597E" w14:textId="0975AA0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E4838BD" w14:textId="5405854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34610951">
        <w:trPr>
          <w:trHeight w:val="106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344962E" w14:textId="6BAF760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Segregação das carcaças destinadas a aproveitamento condicional. (Art. 52)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07E9242" w14:textId="3C9AD6F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D43F8CA" w14:textId="5ADC8F5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3D3CAA6" w14:textId="47A2569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FF92C57" w14:textId="1473AFA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30338821">
        <w:trPr>
          <w:trHeight w:val="52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1C38E3F" w14:textId="190ADB3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D- Adequação de Quadro técnico de pessoal do estabelecimento. (Item II do </w:t>
            </w:r>
            <w:r w:rsidRPr="0BB09D6F" w:rsidR="45DDBA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a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r</w:t>
            </w:r>
            <w:r w:rsidRPr="0BB09D6F" w:rsidR="4E4BE3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t.</w:t>
            </w: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 xml:space="preserve"> 6º)</w:t>
            </w:r>
          </w:p>
        </w:tc>
      </w:tr>
      <w:tr w:rsidR="0BB09D6F" w:rsidTr="770B641E" w14:paraId="29E0FA5C">
        <w:trPr>
          <w:trHeight w:val="187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58AC6C1" w14:textId="56B8EA4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Identiﬁcação dos Médico(s) Veterinários(V) Responsável (eis) (MVR) pelo abate [Nome(s) e número(s) de registro no órgão competente]. 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45DC51F" w14:textId="760C5C15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6299DCE" w14:textId="14B3767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3D03D29" w14:textId="7DCEEDD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A453068" w14:textId="41F1735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461CA5C0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B2DEFBD" w14:textId="123706E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Contratação e horário de trabalho do(s) MVR compatível com os horários de abate</w:t>
            </w:r>
            <w:r w:rsidRPr="0BB09D6F" w:rsidR="668B47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.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3CBC423" w14:textId="6A2F29E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DCC4DA7" w14:textId="5B631D9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27878AC" w14:textId="6256F08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6BF6240" w14:textId="6AE778B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4CBFFC46">
        <w:trPr>
          <w:trHeight w:val="214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2DE7BAE" w14:textId="11E8C99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Comprovação pelo(s) MVR de atendimento a treinamento especíﬁco para a avaliação e classiﬁcação de suínos, carcaças, partes de carcaça e vísceras, na forma deﬁnida pelo DIPOA (EAD).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3D249C6" w14:textId="09A6E8E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2242120" w14:textId="64B939F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795C3B8" w14:textId="18052DD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6580BDC" w14:textId="20C569B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55CA62BF">
        <w:trPr>
          <w:trHeight w:val="187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18D833C" w14:textId="74F94C4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Número de funcionários treinados para as atividades nas linhas de avaliação e classiﬁcação previstas (sujeito a validação após a implementação).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17E6588" w14:textId="24E4A98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BC408CD" w14:textId="5F002F9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AA0FC8B" w14:textId="2ED7FAE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64C99AE" w14:textId="319EBAE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40F121B3">
        <w:trPr>
          <w:trHeight w:val="106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E8A99B6" w14:textId="4296DB4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E - Aplicação de Controle Microbiológico em carcaça de suínos com objetivo de avaliar a higiene do processo e reduzir a prevalência de agentes patogênicos – IN 60/2018 (item IV do Art.6º) incluindo:</w:t>
            </w:r>
          </w:p>
        </w:tc>
      </w:tr>
      <w:tr w:rsidR="0BB09D6F" w:rsidTr="770B641E" w14:paraId="368E0047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55445AC" w14:textId="7476A3D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Implementação de controles quanto a contaminação gastrointestinal no abate. (Art. 82)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9E382CE" w14:textId="38F9A65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3D66681" w14:textId="3902DD9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0C334DB" w14:textId="1FE01F6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ACDE991" w14:textId="0C35E56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496A917E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E82761D" w14:textId="5D7A92C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pt-BR"/>
              </w:rPr>
              <w:t>Apresentação e validação da forma de tratamento para mitigação dos riscos associados e destinação para a carne de cabeça e tecidos/estruturas adjacentes: papada, língua, máscara e outras partes comestíveis. (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pt-BR"/>
              </w:rPr>
              <w:t>Arts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pt-BR"/>
              </w:rPr>
              <w:t>. 60 e 61)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7647766" w14:textId="49398F0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55603AE" w14:textId="360CB85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8B7BC1B" w14:textId="15D61DD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2049261" w14:textId="27AE204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128E28DB">
        <w:trPr>
          <w:trHeight w:val="79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62EB3F3" w14:textId="46AC5CB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F - Adequação do Programa de avaliação e classiﬁcação de suínos, carcaças, partes de carcaça e vísceras, desenvolvido e validado quanto à(s) (os): (Item III do art. 6º e art. 8º)</w:t>
            </w:r>
          </w:p>
        </w:tc>
      </w:tr>
      <w:tr w:rsidR="0BB09D6F" w:rsidTr="770B641E" w14:paraId="604AA877">
        <w:trPr>
          <w:trHeight w:val="106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42F3275" w14:textId="28B18990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Atendimento do programa à legislação vigente. (</w:t>
            </w:r>
            <w:r w:rsidRPr="0BB09D6F" w:rsidR="5CC1A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 do art. 8º)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EB99A08" w14:textId="29CE01A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A20607E" w14:textId="3136484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2DA9580" w14:textId="0753249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168BE95" w14:textId="73E23EC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5DD030E">
        <w:trPr>
          <w:trHeight w:val="268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C0F43C0" w14:textId="728BAE02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Atendimento aos preceitos de higiene da carne, considerando os seus riscos biológicos, químicos e físicos, bem como as características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ﬁsiopatológicas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e outras características associadas à adequação para o consumo humano. (</w:t>
            </w:r>
            <w:r w:rsidRPr="0BB09D6F" w:rsidR="4FDAAE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II do art. 8º)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6790D97" w14:textId="227D8D7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31D1116" w14:textId="1CE2BC4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4AD22D7" w14:textId="02BB592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E19E075" w14:textId="4FFA9E8B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5DC4CC0">
        <w:trPr>
          <w:trHeight w:val="295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F6661E8" w14:textId="7D12F654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Comprovação de embasamento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cient</w:t>
            </w:r>
            <w:r w:rsidRPr="0BB09D6F" w:rsidR="74526A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í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ﬁco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nos riscos à saúde humana, levando em conta todos os riscos à segurança alimentar, prevendo o seu monitoramento no abate e em outras atividades relevantes. (</w:t>
            </w:r>
            <w:r w:rsidRPr="0BB09D6F" w:rsidR="0FB12E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III do art. 8º)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EF9DE94" w14:textId="1578544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492D030" w14:textId="0FF6F83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E7220FD" w14:textId="3E81ACA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88BBF7B" w14:textId="1D2D5D2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106D2521">
        <w:trPr>
          <w:trHeight w:val="349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BDEBBBD" w14:textId="3D05C83E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Inclusão do material de treinamento dado pelo MVR aos auxiliares (art. 44) em conformidade com a metodologia de avaliação 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classiﬁcação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deﬁnidas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pelo DIPOA no material de EAD (</w:t>
            </w:r>
            <w:r w:rsidRPr="0BB09D6F" w:rsidR="5192B4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V do art. 8º) e no que for aplicável aos demais funcionários envolvidos que precisem ser treinados pelo MVR. (Art. 9º)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80F47C4" w14:textId="727B923D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7775A2D" w14:textId="322A251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829AFD6" w14:textId="35335855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24B4176" w14:textId="404188D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882D73A">
        <w:trPr>
          <w:trHeight w:val="40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E8E33AC" w14:textId="19400176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Conformidade com os padrões divulgados pelo DIPOA em normas, manuais e orientações complementares no proposto para a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Identiﬁcação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das lesões e defeitos. (</w:t>
            </w:r>
            <w:r w:rsidRPr="0BB09D6F" w:rsidR="411DD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IV do art. 6º,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arts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. 86 e 87). Descrição da avaliação e a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classiﬁcação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de defeitos ou lesões não previstos na regulamentação vigente do DIPOA, mediante embasamento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cientíﬁco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(Parágrafo único do art. 8º)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9EAD07B" w14:textId="715A170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6DDB408" w14:textId="0FC5F45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423F4CE" w14:textId="3042861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8AEB7D8" w14:textId="3F9FB04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37E686BE">
        <w:trPr>
          <w:trHeight w:val="268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F6D7261" w14:textId="473C11FD">
            <w:pPr>
              <w:pStyle w:val="Normal"/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Previsão das situações e os procedimentos para a comunicação ao serviço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oﬁcial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de sinais compatíveis com doenças de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no</w:t>
            </w:r>
            <w:r w:rsidRPr="0BB09D6F" w:rsidR="3C141C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ti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ﬁcação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obrigatória previstas pelo Departamento de Saúde Animal (DSA). (</w:t>
            </w:r>
            <w:r w:rsidRPr="0BB09D6F" w:rsidR="125D8F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Inciso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VI do art. 8º)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6C5E4A7" w14:textId="28168D5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F8259FD" w14:textId="52ED915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D3142A7" w14:textId="113D340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82526FC" w14:textId="2499ACC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2A4264CA">
        <w:trPr>
          <w:trHeight w:val="241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A6EF6F9" w14:textId="4E4C6985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Previsão de canal de comunicação formal dos resultados de inspeção ao médico veterinário responsável pelo manejo sanitário do lote e para a granja de origem. (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Arts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. 27, 45, 84 e 85)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9E79E4D" w14:textId="35F773D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205F1AB" w14:textId="1C0A6EA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65F48AF" w14:textId="2174F9C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B5C759F" w14:textId="60FDAA8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0E1B9928">
        <w:trPr>
          <w:trHeight w:val="160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643F77B" w14:textId="76CEB3B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Descrição do aproveitamento de outras vísceras (não previstas nas Seções II a IV do Capítulo VI) para ﬁns comestíveis. (Art. 51)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852D402" w14:textId="76369A7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10C9016" w14:textId="4DD4420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43ED945" w14:textId="3D5C7D6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AC66B67" w14:textId="54A6862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22680B0D">
        <w:trPr>
          <w:trHeight w:val="160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38EC9AE" w14:textId="3C4AEE79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Forma de Registro adotados pela avaliação e classiﬁcação dos animais vivos, carcaças, partes de carcaças e vísceras (Arts. 45, 48 e 50)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88C906C" w14:textId="30A2DF7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A64006C" w14:textId="72749FB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7C09258" w14:textId="0FA81F3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F610D82" w14:textId="309AB23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BC1D2AF">
        <w:trPr>
          <w:trHeight w:val="133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8BC69F5" w14:textId="653A1E33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Avaliação de impacto e propostas quanto </w:t>
            </w:r>
            <w:r w:rsidRPr="0BB09D6F" w:rsidR="24835A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à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forma de atendimento aos requisitos de exportação. (Art. 53)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5B570493" w14:textId="17E76DE5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2BFDFBD" w14:textId="5F32CE5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432E8CD" w14:textId="1EDEF144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BDDDB8C" w14:textId="55F47CEF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5BED2704">
        <w:trPr>
          <w:trHeight w:val="79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266AA167" w14:textId="2FC0698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t-BR"/>
              </w:rPr>
              <w:t>G - Adequação do programa e do estabelecimento para a identiﬁcação de produto sujeito a aplicação de tratamentos condicionais na própria planta ou em outra planta. (Arts.10 e 11)</w:t>
            </w:r>
          </w:p>
        </w:tc>
      </w:tr>
      <w:tr w:rsidR="0BB09D6F" w:rsidTr="770B641E" w14:paraId="05164F4B">
        <w:trPr>
          <w:trHeight w:val="160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0249FF2B" w14:textId="45B67196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Rastreabilidade no resfriamento e espostejamento das carcaças destinadas ao aproveitamento condicional. (Art. 52)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D494A8A" w14:textId="7CF176C7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E5FEAF8" w14:textId="1C22C49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42DFD37F" w14:textId="680DA9B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0C81B31" w14:textId="1501716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3644FAD2">
        <w:trPr>
          <w:trHeight w:val="1875"/>
        </w:trPr>
        <w:tc>
          <w:tcPr>
            <w:tcW w:w="270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329CAB01" w14:textId="40189D8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Identiﬁcação inequívoca (rotulagem/embalagem) de produtos sujeitos a tratamento prévio ao consumo e condicional (Art. 11)</w:t>
            </w:r>
          </w:p>
        </w:tc>
        <w:tc>
          <w:tcPr>
            <w:tcW w:w="160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E1DD06F" w14:textId="3B4A3280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143316AD" w14:textId="59F5E30A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79F4760D" w14:textId="73E36371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BCE6D94" w14:textId="7DCEE6BE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</w:t>
            </w:r>
          </w:p>
        </w:tc>
      </w:tr>
      <w:tr w:rsidR="0BB09D6F" w:rsidTr="770B641E" w14:paraId="79380B94">
        <w:trPr>
          <w:trHeight w:val="1875"/>
        </w:trPr>
        <w:tc>
          <w:tcPr>
            <w:tcW w:w="10050" w:type="dxa"/>
            <w:gridSpan w:val="5"/>
            <w:tcBorders>
              <w:top w:val="single" w:color="808080" w:themeColor="background1" w:themeShade="80" w:sz="6"/>
              <w:left w:val="single" w:color="808080" w:themeColor="background1" w:themeShade="80" w:sz="6"/>
              <w:bottom w:val="single" w:color="808080" w:themeColor="background1" w:themeShade="80" w:sz="6"/>
              <w:right w:val="single" w:color="808080" w:themeColor="background1" w:themeShade="80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BB09D6F" w:rsidP="0BB09D6F" w:rsidRDefault="0BB09D6F" w14:paraId="666081FA" w14:textId="3D1090CC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Observações: Devem ser marcados com X </w:t>
            </w:r>
            <w:r w:rsidRPr="0BB09D6F" w:rsidR="7708A0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1 (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um</w:t>
            </w:r>
            <w:r w:rsidRPr="0BB09D6F" w:rsidR="625BF0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)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dos 3 </w:t>
            </w:r>
            <w:r w:rsidRPr="0BB09D6F" w:rsidR="0D36CB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(três)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primeiros campos, seguido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de especiﬁca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ções do AFFA.</w:t>
            </w:r>
          </w:p>
          <w:p w:rsidR="0BB09D6F" w:rsidP="0BB09D6F" w:rsidRDefault="0BB09D6F" w14:paraId="166DDD79" w14:textId="5529A8A2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A capitulação dos itens diz respeito aos artigos da Instrução Normativa nº 79/2018 (Aprova os procedimentos de inspeção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19"/>
                <w:szCs w:val="19"/>
                <w:lang w:val="pt-BR"/>
              </w:rPr>
              <w:t xml:space="preserve">ante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e 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19"/>
                <w:szCs w:val="19"/>
                <w:lang w:val="pt-BR"/>
              </w:rPr>
              <w:t>post mortem</w:t>
            </w: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 xml:space="preserve"> de suínos com base em risco).</w:t>
            </w:r>
          </w:p>
          <w:p w:rsidR="0BB09D6F" w:rsidP="0BB09D6F" w:rsidRDefault="0BB09D6F" w14:paraId="2A4EA5D3" w14:textId="61FCB578">
            <w:pPr>
              <w:spacing w:line="276" w:lineRule="auto"/>
              <w:ind w:left="60"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BB09D6F" w:rsidR="0BB09D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Relacionar/Mencionar o número do processo que traz o projeto de reforma e ampliação do estabelecimento</w:t>
            </w:r>
            <w:r w:rsidRPr="0BB09D6F" w:rsidR="3ECA51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pt-BR"/>
              </w:rPr>
              <w:t>.</w:t>
            </w:r>
          </w:p>
        </w:tc>
      </w:tr>
    </w:tbl>
    <w:p xmlns:wp14="http://schemas.microsoft.com/office/word/2010/wordml" w:rsidP="0BB09D6F" wp14:paraId="1E207724" wp14:textId="4FA8FA4D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FOOnxwQTmMZVL" int2:id="cZM8MZTZ">
      <int2:state int2:type="AugLoop_Text_Critique" int2:value="Rejected"/>
    </int2:textHash>
    <int2:textHash int2:hashCode="sYAQBEVGZDdfKY" int2:id="YdB3FOB3">
      <int2:state int2:type="AugLoop_Text_Critique" int2:value="Rejected"/>
    </int2:textHash>
    <int2:textHash int2:hashCode="EyYqHX94NreY2K" int2:id="aDbOgDgh">
      <int2:state int2:type="AugLoop_Text_Critique" int2:value="Rejected"/>
    </int2:textHash>
    <int2:textHash int2:hashCode="taCHemXSPXIljE" int2:id="3T1LjMay">
      <int2:state int2:type="AugLoop_Text_Critique" int2:value="Rejected"/>
    </int2:textHash>
    <int2:textHash int2:hashCode="rYHY8HoVJcUqA/" int2:id="wi4OrmHc">
      <int2:state int2:type="AugLoop_Text_Critique" int2:value="Rejected"/>
    </int2:textHash>
    <int2:textHash int2:hashCode="ETdBXONItRNnb2" int2:id="DIslHouS">
      <int2:state int2:type="AugLoop_Text_Critique" int2:value="Rejected"/>
    </int2:textHash>
    <int2:textHash int2:hashCode="eanReCNesdzUu+" int2:id="i4DPy6HP">
      <int2:state int2:type="AugLoop_Text_Critique" int2:value="Rejected"/>
    </int2:textHash>
    <int2:textHash int2:hashCode="Cp8RPCCMyWoAgW" int2:id="MiQG4JTC">
      <int2:state int2:type="AugLoop_Text_Critique" int2:value="Rejected"/>
    </int2:textHash>
    <int2:textHash int2:hashCode="IZXEGE4NgtoZgh" int2:id="ZcxjMmn4">
      <int2:state int2:type="AugLoop_Text_Critique" int2:value="Rejected"/>
    </int2:textHash>
    <int2:textHash int2:hashCode="ojY6nIhzkq/L7L" int2:id="XkWlJHUC">
      <int2:state int2:type="AugLoop_Text_Critique" int2:value="Rejected"/>
    </int2:textHash>
    <int2:textHash int2:hashCode="aaKn0OTcIXjbjc" int2:id="bIDeRgo5">
      <int2:state int2:type="AugLoop_Text_Critique" int2:value="Rejected"/>
    </int2:textHash>
    <int2:textHash int2:hashCode="sXwZbDLztKMl2q" int2:id="9b6f1Tpm">
      <int2:state int2:type="AugLoop_Text_Critique" int2:value="Rejected"/>
    </int2:textHash>
    <int2:textHash int2:hashCode="2tiOC+uOPNFI9p" int2:id="CKHnSVf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2784BF"/>
    <w:rsid w:val="014F682F"/>
    <w:rsid w:val="03AADDC7"/>
    <w:rsid w:val="063A711B"/>
    <w:rsid w:val="06797A7B"/>
    <w:rsid w:val="07BF115D"/>
    <w:rsid w:val="0AA2EA46"/>
    <w:rsid w:val="0BB09D6F"/>
    <w:rsid w:val="0C2B2503"/>
    <w:rsid w:val="0D36CB4D"/>
    <w:rsid w:val="0D427D74"/>
    <w:rsid w:val="0FB12E4D"/>
    <w:rsid w:val="10840E92"/>
    <w:rsid w:val="10840E92"/>
    <w:rsid w:val="121FDEF3"/>
    <w:rsid w:val="125D8FA2"/>
    <w:rsid w:val="1A62D03D"/>
    <w:rsid w:val="1A62D03D"/>
    <w:rsid w:val="1B240608"/>
    <w:rsid w:val="1B240608"/>
    <w:rsid w:val="1B3C6AD0"/>
    <w:rsid w:val="1BFEA09E"/>
    <w:rsid w:val="1FB0B80C"/>
    <w:rsid w:val="22FE297C"/>
    <w:rsid w:val="2463EF06"/>
    <w:rsid w:val="24835ABA"/>
    <w:rsid w:val="25B45F19"/>
    <w:rsid w:val="28C3FB49"/>
    <w:rsid w:val="2990755D"/>
    <w:rsid w:val="2AB3E245"/>
    <w:rsid w:val="2B19C197"/>
    <w:rsid w:val="2BFB9C0B"/>
    <w:rsid w:val="2BFB9C0B"/>
    <w:rsid w:val="2D8E5A6B"/>
    <w:rsid w:val="2F333CCD"/>
    <w:rsid w:val="326ADD8F"/>
    <w:rsid w:val="326ADD8F"/>
    <w:rsid w:val="333400E0"/>
    <w:rsid w:val="39A34264"/>
    <w:rsid w:val="3B39C088"/>
    <w:rsid w:val="3B9C3F8F"/>
    <w:rsid w:val="3C141C20"/>
    <w:rsid w:val="3E1DD092"/>
    <w:rsid w:val="3ECA51BD"/>
    <w:rsid w:val="411DDC31"/>
    <w:rsid w:val="41A9020C"/>
    <w:rsid w:val="438BDD8B"/>
    <w:rsid w:val="45DDBA5E"/>
    <w:rsid w:val="48F83063"/>
    <w:rsid w:val="49111961"/>
    <w:rsid w:val="4C58D26F"/>
    <w:rsid w:val="4E1EAC1E"/>
    <w:rsid w:val="4E4BE3B8"/>
    <w:rsid w:val="4EF37DA3"/>
    <w:rsid w:val="4F20E24A"/>
    <w:rsid w:val="4F6976AB"/>
    <w:rsid w:val="4FDAAEAA"/>
    <w:rsid w:val="5192B49B"/>
    <w:rsid w:val="53E776D9"/>
    <w:rsid w:val="542784BF"/>
    <w:rsid w:val="548FDE0A"/>
    <w:rsid w:val="5CC1A987"/>
    <w:rsid w:val="6062160B"/>
    <w:rsid w:val="60FAEB78"/>
    <w:rsid w:val="625BF0B0"/>
    <w:rsid w:val="6586D4B2"/>
    <w:rsid w:val="668B47C5"/>
    <w:rsid w:val="66C771CB"/>
    <w:rsid w:val="66C771CB"/>
    <w:rsid w:val="670F79E7"/>
    <w:rsid w:val="6863422C"/>
    <w:rsid w:val="69FF128D"/>
    <w:rsid w:val="6F3F93AF"/>
    <w:rsid w:val="74526AED"/>
    <w:rsid w:val="7516FD57"/>
    <w:rsid w:val="7708A08A"/>
    <w:rsid w:val="770B641E"/>
    <w:rsid w:val="7839A4E9"/>
    <w:rsid w:val="7BDA0AC0"/>
    <w:rsid w:val="7D90126B"/>
    <w:rsid w:val="7ED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84BF"/>
  <w15:chartTrackingRefBased/>
  <w15:docId w15:val="{3B144D2F-7DC0-42D7-8C11-513B4C1333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1321899a9dd400a" /><Relationship Type="http://schemas.openxmlformats.org/officeDocument/2006/relationships/image" Target="/media/image.png" Id="R6f176963abdd40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2024-01-16T19:59:28.7031842Z</dcterms:created>
  <dcterms:modified xsi:type="dcterms:W3CDTF">2024-01-17T18:23:42.1629849Z</dcterms:modified>
  <dc:creator>Caroline Del Negri Sartoretto de Oliveira</dc:creator>
  <lastModifiedBy>Caroline Del Negri Sartoretto de Oliveira</lastModifiedBy>
</coreProperties>
</file>