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4756" w14:textId="3C8E0B61" w:rsidR="77D91B87" w:rsidRDefault="3401BF0A" w:rsidP="450B84BC">
      <w:pPr>
        <w:jc w:val="center"/>
      </w:pPr>
      <w:r>
        <w:rPr>
          <w:noProof/>
        </w:rPr>
        <w:drawing>
          <wp:inline distT="0" distB="0" distL="0" distR="0" wp14:anchorId="5917F807" wp14:editId="7199E2D0">
            <wp:extent cx="476250" cy="495300"/>
            <wp:effectExtent l="0" t="0" r="0" b="0"/>
            <wp:docPr id="1208290736" name="Imagem 120829073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9A6E" w14:textId="65E1A503" w:rsidR="77D91B87" w:rsidRDefault="464AC5DD" w:rsidP="450B84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 w:line="240" w:lineRule="auto"/>
        <w:ind w:left="1333" w:right="150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50B84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 xml:space="preserve">MINISTÉRIO DA AGRICULTURA E PECUÁRIA     </w:t>
      </w:r>
    </w:p>
    <w:p w14:paraId="4438EF98" w14:textId="13586515" w:rsidR="77D91B87" w:rsidRDefault="464AC5DD" w:rsidP="450B84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33" w:right="150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50B84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>SECRETARIA DE DEFESA AGROPECUÁRIA</w:t>
      </w:r>
    </w:p>
    <w:p w14:paraId="4CAC68CF" w14:textId="1690D4F4" w:rsidR="77D91B87" w:rsidRDefault="464AC5DD" w:rsidP="450B84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333" w:right="150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50B84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>DEPARTAMENTO DE INSPEÇÃO DE PRODUTOS DE ORIGEM ANIMAL</w:t>
      </w:r>
    </w:p>
    <w:p w14:paraId="522D63FF" w14:textId="47404860" w:rsidR="77D91B87" w:rsidRDefault="77D91B87"/>
    <w:p w14:paraId="42D4DAC6" w14:textId="74D5E787" w:rsidR="77D91B87" w:rsidRDefault="475A4B54" w:rsidP="00765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center"/>
        <w:rPr>
          <w:rFonts w:ascii="Aptos" w:eastAsia="Aptos" w:hAnsi="Aptos" w:cs="Aptos"/>
        </w:rPr>
      </w:pPr>
      <w:r w:rsidRPr="4616CD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t-PT"/>
        </w:rPr>
        <w:t xml:space="preserve">Relatório para Fundamentar Decisão de </w:t>
      </w:r>
      <w:r w:rsidR="2FFB1911" w:rsidRPr="4616CD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t-PT"/>
        </w:rPr>
        <w:t>2</w:t>
      </w:r>
      <w:r w:rsidRPr="4616CD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t-PT"/>
        </w:rPr>
        <w:t>ª Instância</w:t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00"/>
        <w:gridCol w:w="391"/>
        <w:gridCol w:w="1154"/>
        <w:gridCol w:w="1095"/>
        <w:gridCol w:w="763"/>
        <w:gridCol w:w="167"/>
        <w:gridCol w:w="2835"/>
        <w:gridCol w:w="60"/>
      </w:tblGrid>
      <w:tr w:rsidR="00765316" w14:paraId="0CEF00CA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083D6" w14:textId="54B7AE9B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Processo nº:   </w:t>
            </w:r>
          </w:p>
        </w:tc>
      </w:tr>
      <w:tr w:rsidR="00765316" w14:paraId="3AA54ADC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F36B4" w14:textId="6DBB7C19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Auto de Infração nº:      </w:t>
            </w:r>
          </w:p>
        </w:tc>
      </w:tr>
      <w:tr w:rsidR="00765316" w14:paraId="537E93CA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CFE40" w14:textId="064AC4F6" w:rsidR="00765316" w:rsidRDefault="00765316" w:rsidP="007653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 Serviço de Inspeção: </w:t>
            </w:r>
            <w:r w:rsidRPr="007653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pt-PT"/>
              </w:rPr>
              <w:t>    x</w:t>
            </w: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 º SIPOA  </w:t>
            </w:r>
          </w:p>
        </w:tc>
      </w:tr>
      <w:tr w:rsidR="00765316" w14:paraId="27C2BF9C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6087D" w14:textId="3EE490AC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IDENTIFICAÇÃO DO AUTUADO:</w:t>
            </w:r>
          </w:p>
        </w:tc>
      </w:tr>
      <w:tr w:rsidR="00765316" w14:paraId="7BF0911E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F5462" w14:textId="5AFCD9D0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1. Denominação do Autuado (Razão Social ou Nome da Pessoa Física):    </w:t>
            </w:r>
          </w:p>
        </w:tc>
      </w:tr>
      <w:tr w:rsidR="00765316" w14:paraId="10104699" w14:textId="77777777" w:rsidTr="00AF275F">
        <w:trPr>
          <w:gridAfter w:val="1"/>
          <w:wAfter w:w="60" w:type="dxa"/>
          <w:trHeight w:val="300"/>
        </w:trPr>
        <w:tc>
          <w:tcPr>
            <w:tcW w:w="30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771DB" w14:textId="4A89630B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2. CNPJ/CPF:</w:t>
            </w:r>
          </w:p>
        </w:tc>
        <w:tc>
          <w:tcPr>
            <w:tcW w:w="6014" w:type="dxa"/>
            <w:gridSpan w:val="5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9467A7" w14:textId="63733932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2.1) Classificação do agente infrator:</w:t>
            </w:r>
          </w:p>
        </w:tc>
      </w:tr>
      <w:tr w:rsidR="00765316" w14:paraId="6F30D709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62B1E" w14:textId="3EB4B6BD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3. E-mail:</w:t>
            </w:r>
          </w:p>
        </w:tc>
      </w:tr>
      <w:tr w:rsidR="00765316" w14:paraId="7E734102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3BF21" w14:textId="4B046FB4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4. Localização (endereço completo):    </w:t>
            </w:r>
          </w:p>
        </w:tc>
      </w:tr>
      <w:tr w:rsidR="00765316" w14:paraId="40AC41A4" w14:textId="77777777" w:rsidTr="00AF275F">
        <w:trPr>
          <w:gridAfter w:val="1"/>
          <w:wAfter w:w="60" w:type="dxa"/>
          <w:trHeight w:val="300"/>
        </w:trPr>
        <w:tc>
          <w:tcPr>
            <w:tcW w:w="601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3D42A" w14:textId="3902D6CF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5.  Município/UF: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9B96" w14:textId="4E345D66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6. CEP:   </w:t>
            </w:r>
          </w:p>
        </w:tc>
      </w:tr>
      <w:tr w:rsidR="00765316" w14:paraId="17369054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47E8" w14:textId="1993D54F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0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7. Nº do registro:    </w:t>
            </w:r>
          </w:p>
        </w:tc>
      </w:tr>
      <w:tr w:rsidR="00765316" w14:paraId="14B8F687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FD693" w14:textId="52A950C1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DOS FATOS:   </w:t>
            </w:r>
          </w:p>
        </w:tc>
      </w:tr>
      <w:tr w:rsidR="00765316" w14:paraId="0882BF17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52748" w14:textId="3F696A07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8.  Informações sobre o Auto de Infração:   </w:t>
            </w:r>
          </w:p>
          <w:p w14:paraId="7372824C" w14:textId="7497E48C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O auto de infração fora lavrado em &lt;   /   /     &gt;. A infração foi constatada em   &lt;  /   /     &gt;.</w:t>
            </w:r>
          </w:p>
          <w:p w14:paraId="6BDE25F0" w14:textId="7F0469F7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A ciência da autuada fora registrada em &lt;   /   /     &gt; (SEI nº   ), por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 meio de assinatura do Auto de Infração / por meio do recebimento pelo Correio, conforme Aviso de Recebimento (SEI nº     ) / por meio de intimação eletrônica no SEI / por outro meio eletrônico, conforme documento SEI / por meio de Edital publicado no DOU (SEI nº     ).</w:t>
            </w:r>
            <w:r w:rsidRPr="00765316">
              <w:rPr>
                <w:rFonts w:ascii="Arial" w:eastAsia="Arial" w:hAnsi="Arial" w:cs="Arial"/>
                <w:color w:val="FF0000"/>
                <w:sz w:val="18"/>
                <w:szCs w:val="18"/>
                <w:lang w:val="pt-PT"/>
              </w:rPr>
              <w:t xml:space="preserve">  </w:t>
            </w:r>
          </w:p>
        </w:tc>
      </w:tr>
      <w:tr w:rsidR="00765316" w14:paraId="1E990706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9D54FC" w14:textId="3122256A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9. Base Legal/Artigos infringidos</w:t>
            </w:r>
            <w:r w:rsidRPr="00765316">
              <w:rPr>
                <w:rFonts w:ascii="Arial" w:eastAsia="Arial" w:hAnsi="Arial" w:cs="Arial"/>
                <w:sz w:val="18"/>
                <w:szCs w:val="18"/>
                <w:lang w:val="pt-PT"/>
              </w:rPr>
              <w:t>:</w:t>
            </w:r>
          </w:p>
          <w:p w14:paraId="2267279E" w14:textId="6F0F5DA4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</w:t>
            </w:r>
            <w:r w:rsidRPr="00765316">
              <w:rPr>
                <w:rFonts w:ascii="Arial" w:eastAsia="Arial" w:hAnsi="Arial" w:cs="Arial"/>
                <w:color w:val="FF0000"/>
                <w:sz w:val="18"/>
                <w:szCs w:val="18"/>
                <w:lang w:val="pt-PT"/>
              </w:rPr>
              <w:t> </w:t>
            </w: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Transcrever conforme consta no Auto de Infração:</w:t>
            </w:r>
          </w:p>
          <w:p w14:paraId="3EB90B8C" w14:textId="0D45E2E2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 Artigo &lt;    &gt; , do Decreto nº 6.296/2007 OU Artigo &lt; &gt; do Decreto nº 12.031/</w:t>
            </w:r>
            <w:r w:rsidR="5F7212C3"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2024, combinado</w:t>
            </w: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 com &lt;        &gt;  </w:t>
            </w:r>
            <w:r w:rsidRPr="00765316">
              <w:rPr>
                <w:rFonts w:ascii="Arial" w:eastAsia="Arial" w:hAnsi="Arial" w:cs="Arial"/>
                <w:color w:val="FF0000"/>
                <w:sz w:val="18"/>
                <w:szCs w:val="18"/>
                <w:lang w:val="pt-PT"/>
              </w:rPr>
              <w:t xml:space="preserve"> </w:t>
            </w:r>
          </w:p>
        </w:tc>
      </w:tr>
      <w:tr w:rsidR="00765316" w14:paraId="0B058D3B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59279" w14:textId="4F15F61B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 10. Demais documentos:</w:t>
            </w:r>
          </w:p>
          <w:p w14:paraId="59C07ABE" w14:textId="7D662C96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   Na oportunidade, também foram lavrados os documentos (citar outros elementos emitidos, por exemplo, Termo de Apreensão).</w:t>
            </w:r>
          </w:p>
          <w:p w14:paraId="63735B58" w14:textId="2BCF277B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   Planos de ação verificados pelo Serviço, fotos, rotulagem, certificado oficial de análise etc.</w:t>
            </w:r>
          </w:p>
          <w:p w14:paraId="3A6C43B2" w14:textId="6684E1FE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16" w14:paraId="143C3304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1974F" w14:textId="6BB672BD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11. Informações do Julgamento de 1ª Instância: </w:t>
            </w:r>
            <w:r w:rsidRPr="00765316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pt-PT"/>
              </w:rPr>
              <w:t> </w:t>
            </w:r>
          </w:p>
          <w:p w14:paraId="525168DE" w14:textId="159CD2D7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Informar se houve apresentação de defesa tempestiva ou se o julgamento em 1ª instância ocorreu à revelia. Quando o infrator tiver sido considerado revel, conferir a análise feita pelo relator e, caso constate algum erro, corrigir e proferir nova decisão.</w:t>
            </w:r>
          </w:p>
          <w:p w14:paraId="478C49F1" w14:textId="4FFC44F6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A decisão em primeira instância foi proferida em &lt;   /   /     &gt;  </w:t>
            </w:r>
          </w:p>
          <w:p w14:paraId="1D8FAAC5" w14:textId="27DA099E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A ciência da autuada fora registrada em &lt;   /   /     &gt;  (SEI nº   ),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por meio de assinatura do Auto de Infração / por meio do recebimento pelo Correio, conforme Aviso de Recebimento (SEI nº     ) / por meio de intimação eletrônica no SEI / por outro meio eletrônico, conforme documento SEI / por meio de Edital publicado no DOU (SEI nº     ).</w:t>
            </w:r>
          </w:p>
          <w:p w14:paraId="7509ED5A" w14:textId="07AA8193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i/>
                <w:iCs/>
                <w:sz w:val="18"/>
                <w:szCs w:val="18"/>
                <w:lang w:val="pt-PT"/>
              </w:rPr>
              <w:t>Foi(ram) imposta(s) a(s) seguintes penalidades:</w:t>
            </w:r>
            <w:r w:rsidRPr="00765316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 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pt-PT"/>
              </w:rPr>
              <w:t>&lt;       &gt;</w:t>
            </w:r>
            <w:r w:rsidRPr="00765316">
              <w:rPr>
                <w:rFonts w:ascii="Arial" w:eastAsia="Arial" w:hAnsi="Arial" w:cs="Arial"/>
                <w:color w:val="FF0000"/>
                <w:sz w:val="18"/>
                <w:szCs w:val="18"/>
                <w:lang w:val="pt-PT"/>
              </w:rPr>
              <w:t xml:space="preserve">  </w:t>
            </w:r>
          </w:p>
          <w:p w14:paraId="1AFC094F" w14:textId="13CD1051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Se houver transferência do registro ou relacionamento da empresa informar se foi constituída nova empresa ou se houve apenas alteração de dados especificando a razão social e CNPJ anteriores e os atuais, além de informar a data da alteração.</w:t>
            </w:r>
          </w:p>
        </w:tc>
      </w:tr>
      <w:tr w:rsidR="00765316" w14:paraId="03D3323A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34CA0" w14:textId="2B360E5C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DO RECURSO</w:t>
            </w:r>
          </w:p>
        </w:tc>
      </w:tr>
      <w:tr w:rsidR="00765316" w14:paraId="5ADB4F9A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69CB5" w14:textId="7AC93921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12. Informações do Recurso:  </w:t>
            </w:r>
          </w:p>
          <w:p w14:paraId="70AACD81" w14:textId="0506B54C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12.1. Legitimidade:   </w:t>
            </w:r>
          </w:p>
          <w:p w14:paraId="3F82FFFD" w14:textId="1DB6CF54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&lt;Foi comprovada a legitimidade do signatário&gt; ou &lt;Não foi comprovada sua legitimidade, portanto o mesmo não será conhecido&gt;  </w:t>
            </w:r>
          </w:p>
          <w:p w14:paraId="2DC0FBDD" w14:textId="6F645B6D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12.2. Avaliação do prazo de apresentação do Recurso:   </w:t>
            </w:r>
          </w:p>
          <w:p w14:paraId="5686D674" w14:textId="5CD5FCBF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 xml:space="preserve">A interessada apresentou recurso no dia &lt;   /   /     &gt;  (SEI nº    ), atendendo o prazo estabelecido no art. 36 da Lei nº 14.515/2022, portanto considerado tempestivo </w:t>
            </w:r>
          </w:p>
          <w:p w14:paraId="6383CFEB" w14:textId="2113E1ED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OU     </w:t>
            </w:r>
          </w:p>
          <w:p w14:paraId="20900A7E" w14:textId="58891F3A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A interessada apresentou recurso no dia &lt;   /   /     &gt;  (SEI nº    ), tendo ultrapassado o prazo estabelecido no art. 36 da Lei nº 14.515/2022, portanto é considerado intempestivo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pt-PT"/>
              </w:rPr>
              <w:t> </w:t>
            </w:r>
            <w:r w:rsidRPr="00765316">
              <w:rPr>
                <w:rFonts w:ascii="Arial" w:eastAsia="Arial" w:hAnsi="Arial" w:cs="Arial"/>
                <w:i/>
                <w:iCs/>
                <w:sz w:val="18"/>
                <w:szCs w:val="18"/>
                <w:lang w:val="pt-PT"/>
              </w:rPr>
              <w:t> </w:t>
            </w:r>
            <w:r w:rsidRPr="00765316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   </w:t>
            </w:r>
          </w:p>
          <w:p w14:paraId="7DDB4FC5" w14:textId="32B063D9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12.3. Argumentos e provas apresentados pela Recorrente:   </w:t>
            </w:r>
          </w:p>
          <w:p w14:paraId="30B75057" w14:textId="44E56225" w:rsidR="00765316" w:rsidRDefault="00765316" w:rsidP="00765316">
            <w:pPr>
              <w:widowControl w:val="0"/>
              <w:spacing w:before="40" w:after="40" w:line="240" w:lineRule="auto"/>
              <w:ind w:left="141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pt-PT"/>
              </w:rPr>
              <w:t>&lt;</w:t>
            </w: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resumo das alegações e requerimentos&gt; </w:t>
            </w:r>
          </w:p>
        </w:tc>
      </w:tr>
      <w:tr w:rsidR="00765316" w14:paraId="7B3EB244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D0358" w14:textId="724C204D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</w:t>
            </w:r>
            <w:r w:rsidRPr="00765316">
              <w:rPr>
                <w:rFonts w:ascii="Arial" w:eastAsia="Arial" w:hAnsi="Arial" w:cs="Arial"/>
                <w:b/>
                <w:bCs/>
                <w:sz w:val="16"/>
                <w:szCs w:val="16"/>
                <w:lang w:val="pt-PT"/>
              </w:rPr>
              <w:t xml:space="preserve"> </w:t>
            </w: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OUTRAS INFORMAÇÕES RELEVANTES:</w:t>
            </w:r>
          </w:p>
          <w:p w14:paraId="457632CA" w14:textId="4762042C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lastRenderedPageBreak/>
              <w:t xml:space="preserve">  </w:t>
            </w: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Avaliar a situação das medidas cautelares adotadas e a conclusão sobre as mesmas, por exemplo.</w:t>
            </w:r>
          </w:p>
        </w:tc>
      </w:tr>
      <w:tr w:rsidR="00765316" w14:paraId="4A5391D7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0AA806" w14:textId="6074E564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lastRenderedPageBreak/>
              <w:t xml:space="preserve">  AVALIAÇÃO DA REGULARIDADE DO PROCESSO</w:t>
            </w:r>
          </w:p>
        </w:tc>
      </w:tr>
      <w:tr w:rsidR="00765316" w14:paraId="7C4D8FFB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5D9C7" w14:textId="22A2D52F" w:rsidR="00765316" w:rsidRDefault="242D623C" w:rsidP="4616CDEE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616CDE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>13.  Avaliação da legalidade:  </w:t>
            </w:r>
          </w:p>
          <w:p w14:paraId="12B4BB44" w14:textId="3B17B1C1" w:rsidR="00765316" w:rsidRDefault="00765316" w:rsidP="0076531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>A motivação do ato administrativo foi legítima e abrange todos os aspectos de fato e de direito que se relacionem com o ato, uma vez que a infração está corretamente descrita, de modo que a autuada tem ciência com exatidão sobre a infração cometida e sobre os respectivos dispositivos legais infringidos; os prazos legais foram cumpridos; o direito ao contraditório e à ampla defesa do autuado fora respeitado nos ditames da lei, em todas as etapas deste procedimento administrativo, verificar se há documentos sem assinatura, verificar se a empresa recebeu cópia de todos os documentos juntados ao processo no momento da lavratura do auto de infração (exceções: relatório SICAR  e despacho de mero encaminhamento) e se a empresa recebeu os documentos juntados ao processo após a apresentação da defesa (exceção: despacho de mero encaminhamento) e se foi dado prazo pra ela se manifestar. </w:t>
            </w:r>
          </w:p>
          <w:p w14:paraId="23B8DC4E" w14:textId="177C7390" w:rsidR="00765316" w:rsidRDefault="00765316" w:rsidP="0076531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 xml:space="preserve">Se ao final deste item entender pela regularidade do processo e considerando que após a apresentação do recurso pela autuada a autoridade julgadora em 1ª instância não reconsiderou sua decisão, conforme &lt;Formulário de Avaliação de Recurso nº </w:t>
            </w:r>
            <w:proofErr w:type="spellStart"/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>xxxxx</w:t>
            </w:r>
            <w:proofErr w:type="spellEnd"/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 xml:space="preserve"> OU citar outro documento SEI nº </w:t>
            </w:r>
            <w:proofErr w:type="spellStart"/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>xxxxx</w:t>
            </w:r>
            <w:proofErr w:type="spellEnd"/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>&gt;, o processo será encaminhado à instância superior para análise e julgamento, em acordo com o que prevê o art. 36, § 2º da Lei nº 14.515/2024.</w:t>
            </w:r>
          </w:p>
          <w:p w14:paraId="01CDD53A" w14:textId="13F0AD3F" w:rsidR="00765316" w:rsidRDefault="00765316" w:rsidP="0076531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765316">
              <w:rPr>
                <w:i/>
                <w:iCs/>
                <w:color w:val="FF0000"/>
                <w:sz w:val="16"/>
                <w:szCs w:val="16"/>
                <w:lang w:eastAsia="en-US"/>
              </w:rPr>
              <w:t>Se ao final deste item entender que houve algum vício, busca-se corrigi-lo e não se realiza análise de mérito, pulando para o item conclusão.</w:t>
            </w:r>
          </w:p>
        </w:tc>
      </w:tr>
      <w:tr w:rsidR="00765316" w14:paraId="6E4EA2E7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67C5F" w14:textId="4B3B46A2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 DO MÉRITO</w:t>
            </w:r>
          </w:p>
        </w:tc>
      </w:tr>
      <w:tr w:rsidR="00765316" w14:paraId="3DEFB860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94990" w14:textId="3D82A2FE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14. Avaliação das alegações do recurso, das provas e da descrição da infração:   </w:t>
            </w:r>
          </w:p>
          <w:p w14:paraId="4CCE224F" w14:textId="3AE7CB79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Avaliar tecnicamente as alegações do recurso e os requerimentos apresentados pelo interessado.</w:t>
            </w:r>
          </w:p>
          <w:p w14:paraId="3C2CDC8A" w14:textId="3FBBB2BA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Avaliar se a infração foi descrita de forma clara e objetiva.</w:t>
            </w:r>
          </w:p>
          <w:p w14:paraId="3BC88100" w14:textId="50C5DB40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07" w:right="225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Ao final deste tópico, para cada infração descrita, deve ficar claro o que aconteceu, quando aconteceu e se a empresa é responsável pela infração.</w:t>
            </w:r>
          </w:p>
        </w:tc>
      </w:tr>
      <w:tr w:rsidR="00765316" w14:paraId="328310C2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CF89" w14:textId="21FB19FD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15. Avaliação do enquadramento legal:  </w:t>
            </w:r>
          </w:p>
          <w:p w14:paraId="073C4934" w14:textId="4D733B52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Avaliar a adequação dos dispositivos legais infringidos, se têm correlação com a(s) infração(ões).</w:t>
            </w:r>
          </w:p>
        </w:tc>
      </w:tr>
      <w:tr w:rsidR="00765316" w14:paraId="03F83B1A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729BD" w14:textId="5C136A06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   16. Histórico do autuado:</w:t>
            </w:r>
          </w:p>
          <w:p w14:paraId="4D3AF93B" w14:textId="6AF13109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100FC01" w14:textId="706DB769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t>O autuado é</w:t>
            </w:r>
            <w:r w:rsidRPr="007653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t-PT"/>
              </w:rPr>
              <w:t> 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(primária OU reincidente genérica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u w:val="single"/>
                <w:lang w:val="pt-PT"/>
              </w:rPr>
              <w:t>OU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 específica)</w:t>
            </w: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t>, conforme consulta ao histórico de infrações do Sistema Integrado de Controle da Arrecadação – SICAR, anexado ao presente processo (SEI nº   ).</w:t>
            </w:r>
          </w:p>
          <w:p w14:paraId="73009533" w14:textId="2BAA587A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t xml:space="preserve">Obs.: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Para infrações constatadas a partir de 30/12/2022 deve-se observar o que está disposto no art. 28, § 1º da Lei nº 14.515/2022, para o caso de reincidência específica.</w:t>
            </w:r>
          </w:p>
          <w:p w14:paraId="1CD302A9" w14:textId="0FC69D4C" w:rsidR="00765316" w:rsidRDefault="00765316" w:rsidP="0076531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5316" w14:paraId="3F01DA1D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1506" w14:textId="59E02AD2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17. Avaliação das situações atenuantes e agravantes: </w:t>
            </w:r>
          </w:p>
          <w:p w14:paraId="7BF72A23" w14:textId="4333E5A2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Avaliar todas as circunstâncias atenuantes e agravantes que incidem no caso em análise. </w:t>
            </w:r>
          </w:p>
          <w:p w14:paraId="7D7B72A6" w14:textId="2B712F89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Para infrações constatadas até 07/07/2024, as circunstâncias a serem consideradas são as do Decreto nº 6.296/2007.</w:t>
            </w:r>
          </w:p>
          <w:p w14:paraId="17B03362" w14:textId="36D0701C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Para as infrações constatadas a partir de 08/07/2024, as circunstâncias a serem consideradas são as do Decreto nº 12.031/2024.</w:t>
            </w:r>
          </w:p>
          <w:p w14:paraId="7A50527F" w14:textId="19371995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06" w:lineRule="auto"/>
              <w:ind w:left="10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Obs.: Caso haja a ocorrência de circunstâncias atenuantes e agravantes, fazer a avaliação sobre quais são preponderantes.</w:t>
            </w:r>
          </w:p>
        </w:tc>
      </w:tr>
      <w:tr w:rsidR="00765316" w14:paraId="587FC4C9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26FC5" w14:textId="4D4C2B16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DA CONCLUSÃO: </w:t>
            </w:r>
          </w:p>
        </w:tc>
      </w:tr>
      <w:tr w:rsidR="00765316" w14:paraId="6903F81D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2AD82" w14:textId="66B9E709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18. Parecer conclusivo sobre a procedência ou a improcedência do Auto de Infração (com base na análise do mérito):  </w:t>
            </w:r>
          </w:p>
          <w:p w14:paraId="13FEA8AC" w14:textId="1DBEE608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41" w:right="225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Concluímos pela procedência &lt;parcial ou total&gt; OU &lt;improcedência &gt; do Auto de infração nº xxx.</w:t>
            </w:r>
          </w:p>
        </w:tc>
      </w:tr>
      <w:tr w:rsidR="00765316" w14:paraId="533069C4" w14:textId="77777777" w:rsidTr="00AF275F">
        <w:trPr>
          <w:gridAfter w:val="1"/>
          <w:wAfter w:w="60" w:type="dxa"/>
          <w:trHeight w:val="300"/>
        </w:trPr>
        <w:tc>
          <w:tcPr>
            <w:tcW w:w="901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DEE32" w14:textId="74FFFC0D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35" w:right="2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5316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19. Proposição da(s) sanção(ões) em caso de parecer conclusivo favorável à procedência do Auto de Infração. Especificar se está em acordo ou em desacordo com a decisão de primeira instância (com base na análise do mérito). </w:t>
            </w:r>
          </w:p>
          <w:p w14:paraId="062CCE77" w14:textId="29E2DE17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35" w:right="225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Propomos aplicação da(s) sanção(ões) administrativa(s) conforme disposto na Tabela de resumo das penalidades, a seguir, &lt;em acordo&gt; OU &lt;em desacordo&gt; com o estabelecido no Julgamento em Primeira Instância (SEI nº).</w:t>
            </w:r>
          </w:p>
          <w:p w14:paraId="17939C6D" w14:textId="173A7692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left="135" w:right="225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Caso esteja em desacordo, justificar.</w:t>
            </w:r>
          </w:p>
          <w:p w14:paraId="6A34DDF4" w14:textId="7C0B4F23" w:rsidR="00765316" w:rsidRDefault="00765316" w:rsidP="00765316">
            <w:pPr>
              <w:widowControl w:val="0"/>
              <w:shd w:val="clear" w:color="auto" w:fill="FFFFFF" w:themeFill="background1"/>
              <w:spacing w:before="40" w:after="40" w:line="240" w:lineRule="auto"/>
              <w:ind w:right="225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765316" w14:paraId="54C9B83D" w14:textId="77777777" w:rsidTr="00AF275F">
        <w:trPr>
          <w:trHeight w:val="300"/>
        </w:trPr>
        <w:tc>
          <w:tcPr>
            <w:tcW w:w="90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24B26C" w14:textId="2599E6FD" w:rsidR="5974FCC7" w:rsidRDefault="5974FCC7" w:rsidP="00765316">
            <w:pPr>
              <w:widowControl w:val="0"/>
              <w:spacing w:before="40" w:after="40" w:line="240" w:lineRule="auto"/>
              <w:ind w:left="141" w:right="66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</w:pPr>
            <w:bookmarkStart w:id="0" w:name="_GoBack"/>
            <w:bookmarkEnd w:id="0"/>
            <w:r w:rsidRPr="0076531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pt-PT"/>
              </w:rPr>
              <w:t>Tabela de resumo das penalidades  </w:t>
            </w:r>
          </w:p>
          <w:p w14:paraId="6A04F4CC" w14:textId="681633A6" w:rsidR="5974FCC7" w:rsidRDefault="5974FCC7" w:rsidP="00765316">
            <w:pPr>
              <w:spacing w:line="259" w:lineRule="auto"/>
              <w:jc w:val="center"/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pt-PT"/>
              </w:rPr>
              <w:t xml:space="preserve">            </w:t>
            </w: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(preencher a tabela apenas nos casos de parecer favorável à procedência do Auto de Infração)</w:t>
            </w:r>
          </w:p>
        </w:tc>
      </w:tr>
      <w:tr w:rsidR="00765316" w14:paraId="53025D2C" w14:textId="77777777" w:rsidTr="00AF275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A99E2D" w14:textId="12077695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-900" w:right="-45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Infração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37B128" w14:textId="08B6B587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 xml:space="preserve">Artigo (s) </w:t>
            </w:r>
            <w:r w:rsidRPr="00765316">
              <w:rPr>
                <w:rFonts w:ascii="Arial" w:eastAsia="Arial" w:hAnsi="Arial" w:cs="Arial"/>
                <w:sz w:val="16"/>
                <w:szCs w:val="16"/>
                <w:lang w:val="pt-PT"/>
              </w:rPr>
              <w:t>infringido (s)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B4DEE4" w14:textId="4A9D46B9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sz w:val="16"/>
                <w:szCs w:val="16"/>
                <w:lang w:val="pt-PT"/>
              </w:rPr>
              <w:t>Fundamentação</w:t>
            </w:r>
            <w:r w:rsidRPr="0076531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 xml:space="preserve"> legal das penalidades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11C87E" w14:textId="58733708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Natureza da infração </w:t>
            </w: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t>(para infrações constatadas a partir de 30/12/2022)</w:t>
            </w:r>
          </w:p>
        </w:tc>
        <w:tc>
          <w:tcPr>
            <w:tcW w:w="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99BE03" w14:textId="3828F54B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>Valor da Multa</w:t>
            </w:r>
          </w:p>
        </w:tc>
        <w:tc>
          <w:tcPr>
            <w:tcW w:w="28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CB01B4" w14:textId="497D828E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color w:val="FF0000"/>
                <w:sz w:val="16"/>
                <w:szCs w:val="16"/>
                <w:lang w:val="pt-PT"/>
              </w:rPr>
              <w:t xml:space="preserve">Outras penalidades </w:t>
            </w:r>
          </w:p>
        </w:tc>
      </w:tr>
      <w:tr w:rsidR="00765316" w14:paraId="17041102" w14:textId="77777777" w:rsidTr="00AF275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5958A7" w14:textId="4230F52D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07" w:right="123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Descrição da infração conforme Auto de Infração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0E837B" w14:textId="3D4C4AD1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Art xx do Decreto 6.296/2007 (para infrações constatadas até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lastRenderedPageBreak/>
              <w:t>07/07/2024) OU</w:t>
            </w:r>
          </w:p>
          <w:p w14:paraId="0849B282" w14:textId="0171C88A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12.031/2024 (para infrações constatadas a partir de 08/07/2024)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7ADB00" w14:textId="491D246C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lastRenderedPageBreak/>
              <w:t>Art. Xx do Decreto 6.296/2007 (para infrações constatadas até 29/12/2022) OU</w:t>
            </w:r>
          </w:p>
          <w:p w14:paraId="7DCD0C74" w14:textId="4655F77B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 xml:space="preserve">Art. Xx do </w:t>
            </w: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lastRenderedPageBreak/>
              <w:t>Decreto 6.296/2007, combinado com o art. Xx da Lei nº 14.515/2022 (para infrações constatadas entre 30/12/2022 e 07/07/2024) OU</w:t>
            </w:r>
          </w:p>
          <w:p w14:paraId="1C4C0E7C" w14:textId="77743193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12.031/2024, combinado com o art. Xx da Lei 14.515/2022 (para infrações constatadas a partir de 08/07/2024)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D4B8A0" w14:textId="3ECD40B0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AF17E0" w14:textId="794F7B6E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958815" w14:textId="5C6D9003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65316" w14:paraId="4AE4011E" w14:textId="77777777" w:rsidTr="00AF275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7F567B" w14:textId="541B7604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07" w:right="123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Descrição da infração con- forme Auto de Infração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C83CE4" w14:textId="0CC7A84E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 xx do Decreto 6.296/2007 (para infrações constatadas até 07/07/2024) OU</w:t>
            </w:r>
          </w:p>
          <w:p w14:paraId="389831DD" w14:textId="1D62D8A2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12.031/2024 (para infrações constatadas a partir de 08/07/2024)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A3FE10" w14:textId="2A65C07E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6.296/2007 (para infrações constatadas até 29/12/2022) OU</w:t>
            </w:r>
          </w:p>
          <w:p w14:paraId="50A6EDBD" w14:textId="58DBFC23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6.296/2007, combinado com o art. Xx da Lei nº 14.515/2022 (para infrações constatadas entre 30/12/2022 e 07/07/2024) OU</w:t>
            </w:r>
          </w:p>
          <w:p w14:paraId="157F04EC" w14:textId="52FF35CF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  <w:t>Art. Xx do Decreto 12.031/2024, combinado com o art. Xx da Lei 14.515/2022 (para infrações constatadas a partir de 08/07/2024)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EC1D09" w14:textId="706B04BF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D16CB3" w14:textId="1F7E1251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51CA82" w14:textId="1BCAA694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65316" w14:paraId="2A400CEF" w14:textId="77777777" w:rsidTr="00AF275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C8CB76" w14:textId="2B0670A2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4D7850" w14:textId="1B8807AB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4526FB" w14:textId="501703E7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49A571" w14:textId="7A374145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Total:</w:t>
            </w:r>
          </w:p>
        </w:tc>
        <w:tc>
          <w:tcPr>
            <w:tcW w:w="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0D570F" w14:textId="42EC1151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8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7653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  <w:t>R$ soma dos valores</w:t>
            </w:r>
          </w:p>
        </w:tc>
        <w:tc>
          <w:tcPr>
            <w:tcW w:w="28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548281" w14:textId="7288F116" w:rsidR="00765316" w:rsidRDefault="00765316" w:rsidP="00765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9" w:right="193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765316" w14:paraId="05F82766" w14:textId="77777777" w:rsidTr="00765316">
        <w:trPr>
          <w:trHeight w:val="300"/>
        </w:trPr>
        <w:tc>
          <w:tcPr>
            <w:tcW w:w="9015" w:type="dxa"/>
          </w:tcPr>
          <w:p w14:paraId="62284EC1" w14:textId="345FE463" w:rsidR="5361D02E" w:rsidRDefault="5361D02E" w:rsidP="00765316">
            <w:pPr>
              <w:widowControl w:val="0"/>
              <w:shd w:val="clear" w:color="auto" w:fill="FFFFFF" w:themeFill="background1"/>
              <w:spacing w:before="40" w:after="40"/>
              <w:ind w:right="2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</w:pPr>
            <w:r w:rsidRPr="0076531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pt-PT"/>
              </w:rPr>
              <w:t>20. Encaminhamento Final:</w:t>
            </w:r>
          </w:p>
          <w:p w14:paraId="43633B7F" w14:textId="1AB35260" w:rsidR="5361D02E" w:rsidRDefault="5361D02E" w:rsidP="00765316">
            <w:pPr>
              <w:widowControl w:val="0"/>
              <w:shd w:val="clear" w:color="auto" w:fill="FFFFFF" w:themeFill="background1"/>
              <w:spacing w:before="240" w:after="240"/>
              <w:jc w:val="both"/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Pelo exposto, em consonância com o artigo 36, § 2º da Lei nº 14.515/2022, propomos o encaminhamento deste ao(à) Sr(a). Secretário de Defesa Agropecuária para análise e julgamento em 2ª Instância.</w:t>
            </w:r>
          </w:p>
          <w:p w14:paraId="7A310591" w14:textId="0DDBBF34" w:rsidR="5361D02E" w:rsidRDefault="5361D02E" w:rsidP="00765316">
            <w:pPr>
              <w:widowControl w:val="0"/>
              <w:shd w:val="clear" w:color="auto" w:fill="FFFFFF" w:themeFill="background1"/>
              <w:spacing w:before="240" w:after="240"/>
              <w:ind w:left="135"/>
              <w:jc w:val="both"/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pt-PT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OU</w:t>
            </w:r>
          </w:p>
          <w:p w14:paraId="7557A237" w14:textId="0AAAA020" w:rsidR="5361D02E" w:rsidRDefault="5361D02E" w:rsidP="00765316">
            <w:pPr>
              <w:widowControl w:val="0"/>
              <w:shd w:val="clear" w:color="auto" w:fill="FFFFFF" w:themeFill="background1"/>
              <w:spacing w:before="240" w:after="240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Pelo exposto, considerando a intenção de agravamento da penalidade, em cumprimento ao que determina o parágrafo único do art. 64 da Lei nº 9.784/1999, propomos o encaminhamento deste ao(à) Sr(a). Secretário de Defesa Agropecuária e, em caso de concordância com este relatório, a interessada deverá ser notificada previamente à decisão final, concedendo prazo máximo de 10 (dez) dias para que apresente suas alegações.</w:t>
            </w:r>
          </w:p>
          <w:p w14:paraId="44B1C302" w14:textId="64803DAE" w:rsidR="5361D02E" w:rsidRDefault="5361D02E" w:rsidP="00765316">
            <w:pPr>
              <w:widowControl w:val="0"/>
              <w:shd w:val="clear" w:color="auto" w:fill="FFFFFF" w:themeFill="background1"/>
              <w:spacing w:before="240" w:after="240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Art. 64. O órgão competente para decidir o recurso poderá confirmar, modificar, anular ou revogar, total ou parcialmente, a decisão recorrida, se a matéria for de sua competência.</w:t>
            </w:r>
          </w:p>
          <w:p w14:paraId="2320BF19" w14:textId="1C7A432B" w:rsidR="5361D02E" w:rsidRDefault="5361D02E" w:rsidP="00765316">
            <w:pPr>
              <w:widowControl w:val="0"/>
              <w:shd w:val="clear" w:color="auto" w:fill="FFFFFF" w:themeFill="background1"/>
              <w:spacing w:before="240" w:after="240"/>
              <w:jc w:val="both"/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</w:pPr>
            <w:r w:rsidRPr="00765316">
              <w:rPr>
                <w:rFonts w:eastAsiaTheme="minorEastAsia"/>
                <w:i/>
                <w:iCs/>
                <w:color w:val="FF0000"/>
                <w:sz w:val="16"/>
                <w:szCs w:val="16"/>
                <w:lang w:val="pt-PT"/>
              </w:rPr>
              <w:t>Parágrafo único. Se da aplicação do disposto neste artigo puder decorrer gravame à situação do recorrente, este deverá ser cientificado para que formule suas alegações antes da decisão.</w:t>
            </w:r>
          </w:p>
        </w:tc>
      </w:tr>
    </w:tbl>
    <w:p w14:paraId="7FC5BB30" w14:textId="2A93FE36" w:rsidR="00765316" w:rsidRDefault="00765316" w:rsidP="00765316">
      <w:pPr>
        <w:widowControl w:val="0"/>
        <w:shd w:val="clear" w:color="auto" w:fill="FFFFFF" w:themeFill="background1"/>
        <w:spacing w:before="40" w:after="40" w:line="240" w:lineRule="auto"/>
        <w:ind w:right="220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pt-PT"/>
        </w:rPr>
      </w:pPr>
    </w:p>
    <w:p w14:paraId="20748D5B" w14:textId="7C0E5BE9" w:rsidR="00765316" w:rsidRDefault="00765316" w:rsidP="00765316">
      <w:pPr>
        <w:rPr>
          <w:rFonts w:ascii="Arial" w:eastAsia="Arial" w:hAnsi="Arial" w:cs="Arial"/>
          <w:i/>
          <w:iCs/>
          <w:color w:val="FF0000"/>
          <w:sz w:val="18"/>
          <w:szCs w:val="18"/>
          <w:lang w:val="pt-PT"/>
        </w:rPr>
      </w:pPr>
    </w:p>
    <w:sectPr w:rsidR="00765316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F3D6B"/>
    <w:rsid w:val="00765316"/>
    <w:rsid w:val="00AF275F"/>
    <w:rsid w:val="0395724A"/>
    <w:rsid w:val="03EF3D6B"/>
    <w:rsid w:val="05817C20"/>
    <w:rsid w:val="1565DD2D"/>
    <w:rsid w:val="15CF0C34"/>
    <w:rsid w:val="1957B0BF"/>
    <w:rsid w:val="1C31F453"/>
    <w:rsid w:val="1C953E61"/>
    <w:rsid w:val="1DFC4A15"/>
    <w:rsid w:val="20752178"/>
    <w:rsid w:val="21C30BCE"/>
    <w:rsid w:val="242D623C"/>
    <w:rsid w:val="243D555D"/>
    <w:rsid w:val="2583C875"/>
    <w:rsid w:val="29ACB0DC"/>
    <w:rsid w:val="2FFB1911"/>
    <w:rsid w:val="3401BF0A"/>
    <w:rsid w:val="35A23083"/>
    <w:rsid w:val="35B17206"/>
    <w:rsid w:val="35B9B399"/>
    <w:rsid w:val="360CD3F9"/>
    <w:rsid w:val="362BDAF4"/>
    <w:rsid w:val="3C79FD5F"/>
    <w:rsid w:val="3FC4F8E2"/>
    <w:rsid w:val="43D46377"/>
    <w:rsid w:val="4479B3BB"/>
    <w:rsid w:val="44C29307"/>
    <w:rsid w:val="450B84BC"/>
    <w:rsid w:val="45EC0EB7"/>
    <w:rsid w:val="4616CDEE"/>
    <w:rsid w:val="464AC5DD"/>
    <w:rsid w:val="46AB556A"/>
    <w:rsid w:val="475A4B54"/>
    <w:rsid w:val="48850F1B"/>
    <w:rsid w:val="4A50FCAF"/>
    <w:rsid w:val="4D475FBA"/>
    <w:rsid w:val="4E5D1278"/>
    <w:rsid w:val="4F5D97D0"/>
    <w:rsid w:val="5361D02E"/>
    <w:rsid w:val="5416B0A3"/>
    <w:rsid w:val="5974FCC7"/>
    <w:rsid w:val="5BF969C4"/>
    <w:rsid w:val="5C779AFA"/>
    <w:rsid w:val="5D443303"/>
    <w:rsid w:val="5D885688"/>
    <w:rsid w:val="5F7212C3"/>
    <w:rsid w:val="60094BC2"/>
    <w:rsid w:val="6079DF6E"/>
    <w:rsid w:val="61FE7D2A"/>
    <w:rsid w:val="62655521"/>
    <w:rsid w:val="6301B805"/>
    <w:rsid w:val="76308D04"/>
    <w:rsid w:val="77D91B87"/>
    <w:rsid w:val="79D22CA4"/>
    <w:rsid w:val="7B1BFF20"/>
    <w:rsid w:val="7C1E5601"/>
    <w:rsid w:val="7DA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3D6B"/>
  <w15:chartTrackingRefBased/>
  <w15:docId w15:val="{E7987122-D9E0-4077-940A-FE3760F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uiPriority w:val="1"/>
    <w:rsid w:val="450B84BC"/>
    <w:pPr>
      <w:spacing w:beforeAutospacing="1" w:after="0" w:afterAutospacing="1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b1dda09651f54c6d" Type="http://schemas.microsoft.com/office/2020/10/relationships/intelligence" Target="intelligence2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Del Negri Sartoretto de Oliveira</dc:creator>
  <cp:keywords/>
  <dc:description/>
  <cp:lastModifiedBy>Caroline Del Negri Sartoretto de Oliveira</cp:lastModifiedBy>
  <cp:revision>3</cp:revision>
  <dcterms:created xsi:type="dcterms:W3CDTF">2025-01-23T16:18:00Z</dcterms:created>
  <dcterms:modified xsi:type="dcterms:W3CDTF">2025-01-24T12:50:00Z</dcterms:modified>
</cp:coreProperties>
</file>